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 w:val="0"/>
          <w:bCs w:val="0"/>
          <w:sz w:val="22"/>
          <w:szCs w:val="22"/>
        </w:rPr>
        <w:t xml:space="preserve">Приложение №1 к Документации о закупке</w:t>
      </w:r>
      <w:r>
        <w:rPr>
          <w:rFonts w:eastAsia="Calibri"/>
          <w:b w:val="0"/>
          <w:bCs w:val="0"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Технические требования на выполнение работ</w:t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keepLines/>
        <w:keepNext/>
        <w:rPr>
          <w:rFonts w:eastAsia="Calibri"/>
          <w:sz w:val="22"/>
          <w:szCs w:val="22"/>
          <w:highlight w:val="white"/>
        </w:rPr>
      </w:pPr>
      <w:r>
        <w:rPr>
          <w:rFonts w:eastAsia="Calibri"/>
          <w:sz w:val="22"/>
          <w:szCs w:val="22"/>
          <w:highlight w:val="white"/>
        </w:rPr>
        <w:t xml:space="preserve">«</w:t>
      </w:r>
      <w:r>
        <w:rPr>
          <w:rFonts w:eastAsia="Calibri"/>
          <w:sz w:val="22"/>
          <w:szCs w:val="22"/>
          <w:highlight w:val="white"/>
        </w:rPr>
        <w:t xml:space="preserve">ОКПД2 43.12.11.190. Выполнение работ по разработке и перемещению золы из дополнительной секции буферного золоотвала в буферный золоотвал Хабаровской ТЭЦ-1, г. Хабаровск</w:t>
      </w:r>
      <w:r>
        <w:rPr>
          <w:rFonts w:eastAsia="Calibri"/>
          <w:sz w:val="22"/>
          <w:szCs w:val="22"/>
          <w:highlight w:val="white"/>
        </w:rPr>
        <w:t xml:space="preserve">»</w:t>
      </w:r>
      <w:r>
        <w:rPr>
          <w:rFonts w:eastAsia="Calibri"/>
          <w:sz w:val="22"/>
          <w:szCs w:val="22"/>
          <w:highlight w:val="white"/>
        </w:rPr>
      </w:r>
      <w:r>
        <w:rPr>
          <w:rFonts w:eastAsia="Calibri"/>
          <w:sz w:val="22"/>
          <w:szCs w:val="22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  <w:highlight w:val="white"/>
        </w:rPr>
        <w:t xml:space="preserve">Лот № </w:t>
      </w:r>
      <w:r>
        <w:rPr>
          <w:rFonts w:eastAsia="Calibri"/>
          <w:b/>
          <w:sz w:val="22"/>
          <w:szCs w:val="22"/>
          <w:highlight w:val="white"/>
        </w:rPr>
        <w:t xml:space="preserve">41</w:t>
      </w:r>
      <w:r>
        <w:rPr>
          <w:rFonts w:eastAsia="Calibri"/>
          <w:b/>
          <w:sz w:val="22"/>
          <w:szCs w:val="22"/>
          <w:highlight w:val="white"/>
        </w:rPr>
        <w:t xml:space="preserve">020021-ЭКСП ПРОД-2026-ДГК-ХТЭЦ1</w:t>
      </w:r>
      <w:r>
        <w:rPr>
          <w:rFonts w:eastAsia="Calibri"/>
          <w:b/>
          <w:sz w:val="22"/>
          <w:szCs w:val="22"/>
        </w:rPr>
        <w:br w:type="page" w:clear="all"/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142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cstheme="majorHAnsi"/>
          <w:b w:val="0"/>
          <w:i/>
          <w:sz w:val="22"/>
          <w:szCs w:val="22"/>
        </w:rPr>
        <w:fldChar w:fldCharType="begin"/>
      </w:r>
      <w:r>
        <w:rPr>
          <w:rFonts w:cstheme="majorHAnsi"/>
          <w:b w:val="0"/>
          <w:i/>
          <w:sz w:val="22"/>
          <w:szCs w:val="22"/>
        </w:rPr>
        <w:instrText xml:space="preserve"> TOC \o "1-4" \h \z \u </w:instrText>
      </w:r>
      <w:r>
        <w:rPr>
          <w:rFonts w:cstheme="majorHAnsi"/>
          <w:b w:val="0"/>
          <w:i/>
          <w:sz w:val="22"/>
          <w:szCs w:val="22"/>
        </w:rPr>
        <w:fldChar w:fldCharType="separate"/>
      </w:r>
      <w:hyperlink w:tooltip="#_Toc54646395" w:anchor="_Toc54646395" w:history="1">
        <w:r>
          <w:rPr>
            <w:rStyle w:val="1143"/>
            <w:sz w:val="22"/>
            <w:szCs w:val="2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Общие сведения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_Toc54646395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3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6" w:anchor="_Toc54646396" w:history="1">
        <w:r>
          <w:rPr>
            <w:rStyle w:val="1143"/>
            <w:iCs/>
            <w:sz w:val="22"/>
            <w:szCs w:val="22"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Обозначения и сокращения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_Toc54646396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3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7" w:anchor="_Toc54646397" w:history="1">
        <w:r>
          <w:rPr>
            <w:rStyle w:val="1143"/>
            <w:iCs/>
            <w:sz w:val="22"/>
            <w:szCs w:val="22"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Наименование закупаемой продукции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_Toc54646397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398" w:anchor="_Toc54646398" w:history="1">
        <w:r>
          <w:rPr>
            <w:rStyle w:val="1143"/>
            <w:iCs/>
            <w:sz w:val="22"/>
            <w:szCs w:val="22"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Цель выполнения работ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_Toc54646398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2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0" w:anchor="_Toc54646400" w:history="1">
        <w:r>
          <w:rPr>
            <w:rStyle w:val="1143"/>
            <w:sz w:val="22"/>
            <w:szCs w:val="22"/>
          </w:rPr>
          <w:t xml:space="preserve">Таблица 1. Перечень объектов заказчика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_Toc54646400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4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1" w:anchor="_Таблица_1." w:history="1">
        <w:r>
          <w:rPr>
            <w:rStyle w:val="1143"/>
            <w:iCs/>
            <w:color w:val="auto"/>
            <w:sz w:val="22"/>
            <w:szCs w:val="22"/>
          </w:rPr>
          <w:t xml:space="preserve">1.4. Информация в отношении исполнения договора, которая должна быть учтена при подготовке заявки (в том числе пере</w:t>
        </w:r>
        <w:r>
          <w:rPr>
            <w:rStyle w:val="1143"/>
            <w:iCs/>
            <w:color w:val="auto"/>
            <w:sz w:val="22"/>
            <w:szCs w:val="22"/>
          </w:rPr>
          <w:t xml:space="preserve">чень ресурсов, услуг и документов, предоставляемых заказчиком на этапе исполнения договора).....................................................................................................................................................................</w:t>
        </w:r>
      </w:hyperlink>
      <w:r>
        <w:rPr>
          <w:rStyle w:val="1143"/>
          <w:iCs/>
          <w:color w:val="auto"/>
          <w:sz w:val="22"/>
          <w:szCs w:val="22"/>
          <w:u w:val="none"/>
        </w:rPr>
        <w:t xml:space="preserve">4</w:t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2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3" w:anchor="_Toc54646403" w:history="1">
        <w:r>
          <w:rPr>
            <w:rStyle w:val="1143"/>
            <w:sz w:val="22"/>
            <w:szCs w:val="2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43"/>
            <w:iCs/>
            <w:sz w:val="22"/>
            <w:szCs w:val="22"/>
          </w:rPr>
          <w:t xml:space="preserve">Требования к продукции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_Toc54646403 \h </w:instrText>
        </w:r>
        <w:r>
          <w:rPr>
            <w:sz w:val="22"/>
            <w:szCs w:val="22"/>
          </w:rPr>
          <w:fldChar w:fldCharType="separate"/>
        </w:r>
        <w:r>
          <w:rPr>
            <w:bCs w:val="0"/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Cs w:val="0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4" w:anchor="_Toc54646404" w:history="1">
        <w:r>
          <w:rPr>
            <w:rStyle w:val="1143"/>
            <w:iCs/>
            <w:sz w:val="22"/>
            <w:szCs w:val="22"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Требования к объемам и срокам выполнения работ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_Toc54646404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2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6" w:anchor="_Toc54646406" w:history="1">
        <w:r>
          <w:rPr>
            <w:rStyle w:val="1143"/>
            <w:sz w:val="22"/>
            <w:szCs w:val="22"/>
          </w:rPr>
          <w:t xml:space="preserve">Таблица 2. Перечень и объем выполняемых работ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PAGEREF _Toc54646406 \h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 xml:space="preserve">5</w:t>
        </w:r>
        <w:r>
          <w:rPr>
            <w:sz w:val="22"/>
            <w:szCs w:val="22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2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08" w:anchor="_Toc54646408" w:history="1">
        <w:r>
          <w:rPr>
            <w:rStyle w:val="1143"/>
            <w:sz w:val="22"/>
            <w:szCs w:val="22"/>
          </w:rPr>
          <w:t xml:space="preserve">Таблица 3. Требования по срокам выполнения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4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rPr>
          <w:sz w:val="22"/>
          <w:szCs w:val="22"/>
        </w:rPr>
      </w:r>
      <w:hyperlink w:tooltip="#_Toc54646409" w:anchor="_Toc54646409" w:history="1">
        <w:r>
          <w:rPr>
            <w:rStyle w:val="1143"/>
            <w:iCs/>
            <w:sz w:val="22"/>
            <w:szCs w:val="22"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Требования к качеству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142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0" w:anchor="_Toc54646410" w:history="1">
        <w:r>
          <w:rPr>
            <w:rStyle w:val="1143"/>
            <w:sz w:val="22"/>
            <w:szCs w:val="22"/>
          </w:rPr>
          <w:t xml:space="preserve">Таблица 4. Требования к качеству работ</w:t>
        </w:r>
        <w:r>
          <w:rPr>
            <w:sz w:val="22"/>
            <w:szCs w:val="22"/>
          </w:rPr>
          <w:tab/>
        </w:r>
      </w:hyperlink>
      <w:r>
        <w:rPr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2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1" w:anchor="_Toc54646411" w:history="1">
        <w:r>
          <w:rPr>
            <w:rStyle w:val="1143"/>
            <w:sz w:val="22"/>
            <w:szCs w:val="2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Требования к документации по ценообразованию на этапе закупки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3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2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2" w:anchor="_Toc54646412" w:history="1">
        <w:r>
          <w:rPr>
            <w:rStyle w:val="1143"/>
            <w:sz w:val="22"/>
            <w:szCs w:val="2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43"/>
            <w:sz w:val="22"/>
            <w:szCs w:val="22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3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2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sz w:val="22"/>
          <w:szCs w:val="22"/>
        </w:rPr>
      </w:r>
      <w:hyperlink w:tooltip="#_Toc54646413" w:anchor="_Toc54646413" w:history="1">
        <w:r>
          <w:rPr>
            <w:rStyle w:val="1143"/>
            <w:sz w:val="22"/>
            <w:szCs w:val="22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143"/>
            <w:iCs/>
            <w:sz w:val="22"/>
            <w:szCs w:val="22"/>
          </w:rPr>
          <w:t xml:space="preserve">Приложения</w:t>
        </w:r>
        <w:r>
          <w:rPr>
            <w:sz w:val="22"/>
            <w:szCs w:val="22"/>
          </w:rPr>
          <w:tab/>
          <w:t xml:space="preserve">1</w:t>
        </w:r>
      </w:hyperlink>
      <w:r>
        <w:rPr>
          <w:sz w:val="22"/>
          <w:szCs w:val="22"/>
        </w:rPr>
        <w:t xml:space="preserve">4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14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i/>
          <w:sz w:val="22"/>
          <w:szCs w:val="22"/>
        </w:rPr>
      </w:pPr>
      <w:r>
        <w:rPr>
          <w:rFonts w:cstheme="majorHAnsi"/>
          <w:b/>
          <w:i/>
          <w:sz w:val="22"/>
          <w:szCs w:val="22"/>
        </w:rPr>
        <w:fldChar w:fldCharType="end"/>
      </w:r>
      <w:r>
        <w:rPr>
          <w:rFonts w:eastAsia="Calibri"/>
          <w:b/>
          <w:i/>
          <w:sz w:val="22"/>
          <w:szCs w:val="22"/>
        </w:rPr>
      </w:r>
      <w:r>
        <w:rPr>
          <w:rFonts w:eastAsia="Calibri"/>
          <w:b/>
          <w:i/>
          <w:sz w:val="22"/>
          <w:szCs w:val="22"/>
        </w:rPr>
      </w:r>
    </w:p>
    <w:p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pStyle w:val="956"/>
        <w:ind w:left="357" w:hanging="357"/>
        <w:jc w:val="center"/>
        <w:keepLines/>
        <w:rPr>
          <w:caps/>
          <w:sz w:val="22"/>
          <w:szCs w:val="22"/>
        </w:rPr>
      </w:pPr>
      <w:r>
        <w:rPr>
          <w:sz w:val="22"/>
          <w:szCs w:val="22"/>
        </w:rPr>
      </w:r>
      <w:bookmarkStart w:id="0" w:name="_Toc51339692"/>
      <w:r>
        <w:rPr>
          <w:sz w:val="22"/>
          <w:szCs w:val="22"/>
        </w:rPr>
      </w:r>
      <w:bookmarkStart w:id="1" w:name="_Toc54646395"/>
      <w:r>
        <w:rPr>
          <w:sz w:val="22"/>
          <w:szCs w:val="22"/>
        </w:rPr>
        <w:t xml:space="preserve">Общие сведения</w:t>
      </w:r>
      <w:bookmarkEnd w:id="0"/>
      <w:r>
        <w:rPr>
          <w:sz w:val="22"/>
          <w:szCs w:val="22"/>
        </w:rPr>
      </w:r>
      <w:bookmarkEnd w:id="1"/>
      <w:r>
        <w:rPr>
          <w:caps/>
          <w:sz w:val="22"/>
          <w:szCs w:val="22"/>
        </w:rPr>
      </w:r>
      <w:r>
        <w:rPr>
          <w:caps/>
          <w:sz w:val="22"/>
          <w:szCs w:val="22"/>
        </w:rPr>
      </w:r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</w:r>
      <w:bookmarkStart w:id="2" w:name="_Toc46743505"/>
      <w:r>
        <w:rPr>
          <w:sz w:val="22"/>
          <w:szCs w:val="22"/>
        </w:rPr>
      </w:r>
      <w:bookmarkStart w:id="3" w:name="_Toc54646396"/>
      <w:r>
        <w:rPr>
          <w:sz w:val="22"/>
          <w:szCs w:val="22"/>
        </w:rPr>
        <w:t xml:space="preserve">Обозначения и сокращения</w:t>
      </w:r>
      <w:bookmarkEnd w:id="2"/>
      <w:r>
        <w:rPr>
          <w:sz w:val="22"/>
          <w:szCs w:val="22"/>
        </w:rPr>
      </w:r>
      <w:bookmarkEnd w:id="3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rStyle w:val="1152"/>
          <w:b w:val="0"/>
          <w:bCs/>
          <w:iCs/>
          <w:sz w:val="22"/>
          <w:szCs w:val="22"/>
        </w:rPr>
      </w:pPr>
      <w:r>
        <w:rPr>
          <w:b w:val="0"/>
          <w:bCs/>
          <w:iCs/>
          <w:sz w:val="22"/>
          <w:szCs w:val="22"/>
        </w:rPr>
      </w:r>
      <w:r>
        <w:rPr>
          <w:rStyle w:val="1152"/>
          <w:b w:val="0"/>
          <w:bCs/>
          <w:iCs/>
          <w:sz w:val="22"/>
          <w:szCs w:val="22"/>
        </w:rPr>
      </w:r>
      <w:r>
        <w:rPr>
          <w:rStyle w:val="1152"/>
          <w:b w:val="0"/>
          <w:bCs/>
          <w:iCs/>
          <w:sz w:val="22"/>
          <w:szCs w:val="22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52"/>
                <w:b w:val="0"/>
                <w:bCs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ТТ</w:t>
            </w:r>
            <w:r>
              <w:rPr>
                <w:rStyle w:val="1152"/>
                <w:b w:val="0"/>
                <w:bCs/>
                <w:iCs/>
                <w:sz w:val="22"/>
                <w:szCs w:val="22"/>
              </w:rPr>
            </w:r>
            <w:r>
              <w:rPr>
                <w:rStyle w:val="1152"/>
                <w:b w:val="0"/>
                <w:bCs/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52"/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Технические требования</w:t>
            </w:r>
            <w:r>
              <w:rPr>
                <w:rStyle w:val="1152"/>
                <w:b w:val="0"/>
                <w:bCs/>
                <w:i w:val="0"/>
                <w:iCs/>
                <w:sz w:val="22"/>
                <w:szCs w:val="22"/>
              </w:rPr>
            </w:r>
            <w:r>
              <w:rPr>
                <w:rStyle w:val="1152"/>
                <w:b w:val="0"/>
                <w:bCs/>
                <w:i w:val="0"/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НТД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Нормативно-техническая документация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СП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Свод правил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СТО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Стандарт организации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РД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Рабочая документация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СНиП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Строительные нормы и правила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Стандарт организации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ППР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Проект производства работ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ВОР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Ведомость объемов работ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</w:r>
      <w:bookmarkStart w:id="4" w:name="_Toc54646397"/>
      <w:r>
        <w:rPr>
          <w:sz w:val="22"/>
          <w:szCs w:val="22"/>
        </w:rPr>
        <w:t xml:space="preserve">Наименование закупаемой продукции</w:t>
      </w:r>
      <w:bookmarkEnd w:id="4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2"/>
          <w:szCs w:val="22"/>
          <w14:ligatures w14:val="none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 xml:space="preserve">«</w:t>
      </w:r>
      <w:r>
        <w:rPr>
          <w:rFonts w:eastAsia="Calibri"/>
          <w:sz w:val="22"/>
          <w:szCs w:val="22"/>
        </w:rPr>
        <w:t xml:space="preserve">ОКПД2 43.12.11.190. Выполнение работ по разработке и перемещению золы из дополнительной секции буферного золоотвала в буферный золоотвал Хабаровской ТЭЦ-1, г. Хабаровск</w:t>
      </w:r>
      <w:r>
        <w:rPr>
          <w:rFonts w:eastAsia="Calibri"/>
          <w:sz w:val="22"/>
          <w:szCs w:val="22"/>
        </w:rPr>
        <w:t xml:space="preserve">»</w:t>
      </w:r>
      <w:r>
        <w:rPr>
          <w:rFonts w:eastAsia="Calibri"/>
          <w:sz w:val="22"/>
          <w:szCs w:val="22"/>
        </w:rPr>
        <w:t xml:space="preserve">.</w:t>
      </w:r>
      <w:bookmarkStart w:id="5" w:name="_Toc46743507"/>
      <w:r>
        <w:rPr>
          <w:rFonts w:eastAsia="Calibri"/>
          <w:sz w:val="22"/>
          <w:szCs w:val="22"/>
        </w:rPr>
      </w:r>
      <w:bookmarkStart w:id="6" w:name="_Toc54646398"/>
      <w:r>
        <w:rPr>
          <w:rFonts w:eastAsia="Calibri"/>
          <w:sz w:val="22"/>
          <w:szCs w:val="22"/>
          <w14:ligatures w14:val="none"/>
        </w:rPr>
      </w:r>
      <w:r>
        <w:rPr>
          <w:rFonts w:eastAsia="Calibri"/>
          <w:sz w:val="22"/>
          <w:szCs w:val="22"/>
          <w14:ligatures w14:val="none"/>
        </w:rPr>
      </w:r>
    </w:p>
    <w:p>
      <w:pPr>
        <w:pStyle w:val="959"/>
        <w:rPr>
          <w:rStyle w:val="1152"/>
          <w:b/>
          <w:sz w:val="22"/>
          <w:szCs w:val="22"/>
        </w:rPr>
      </w:pPr>
      <w:r>
        <w:rPr>
          <w:sz w:val="22"/>
          <w:szCs w:val="22"/>
        </w:rPr>
        <w:t xml:space="preserve">Цель </w:t>
      </w:r>
      <w:bookmarkEnd w:id="5"/>
      <w:r>
        <w:rPr>
          <w:sz w:val="22"/>
          <w:szCs w:val="22"/>
        </w:rPr>
        <w:t xml:space="preserve">выполнения работ </w:t>
      </w:r>
      <w:bookmarkEnd w:id="6"/>
      <w:r>
        <w:rPr>
          <w:rStyle w:val="1152"/>
          <w:b/>
          <w:sz w:val="22"/>
          <w:szCs w:val="22"/>
        </w:rPr>
      </w:r>
      <w:r>
        <w:rPr>
          <w:rStyle w:val="1152"/>
          <w:b/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2"/>
          <w:szCs w:val="22"/>
          <w:highlight w:val="white"/>
        </w:rPr>
      </w:pPr>
      <w:r>
        <w:rPr>
          <w:rFonts w:eastAsia="Calibri"/>
          <w:sz w:val="22"/>
          <w:szCs w:val="22"/>
          <w:highlight w:val="white"/>
        </w:rPr>
        <w:tab/>
      </w:r>
      <w:r>
        <w:rPr>
          <w:rFonts w:eastAsia="Calibri"/>
          <w:sz w:val="22"/>
          <w:szCs w:val="22"/>
          <w:highlight w:val="white"/>
        </w:rPr>
        <w:t xml:space="preserve">Целью работы является </w:t>
      </w:r>
      <w:r>
        <w:rPr>
          <w:rFonts w:eastAsia="Calibri"/>
          <w:sz w:val="22"/>
          <w:szCs w:val="22"/>
          <w:highlight w:val="white"/>
        </w:rPr>
        <w:t xml:space="preserve">увеличение срока эксплуатации дополнительной секции буферного золоотвала</w:t>
      </w:r>
      <w:r>
        <w:rPr>
          <w:rFonts w:eastAsia="Calibri"/>
          <w:sz w:val="22"/>
          <w:szCs w:val="22"/>
          <w:highlight w:val="white"/>
        </w:rPr>
        <w:t xml:space="preserve">, обеспечение эффективности и надежности работы энергетического оборудования Хабаровской ТЭЦ-1</w:t>
      </w:r>
      <w:r>
        <w:rPr>
          <w:rFonts w:eastAsia="Calibri"/>
          <w:sz w:val="22"/>
          <w:szCs w:val="22"/>
          <w:highlight w:val="white"/>
        </w:rPr>
        <w:t xml:space="preserve">.</w:t>
      </w:r>
      <w:r>
        <w:rPr>
          <w:rFonts w:eastAsia="Calibri"/>
          <w:sz w:val="22"/>
          <w:szCs w:val="22"/>
          <w:highlight w:val="white"/>
        </w:rPr>
      </w:r>
      <w:r>
        <w:rPr>
          <w:rFonts w:eastAsia="Calibri"/>
          <w:sz w:val="22"/>
          <w:szCs w:val="22"/>
          <w:highlight w:val="white"/>
        </w:rPr>
      </w:r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  <w:t xml:space="preserve">Существующее положение</w:t>
      </w:r>
      <w:r>
        <w:rPr>
          <w:sz w:val="22"/>
          <w:szCs w:val="22"/>
          <w14:ligatures w14:val="none"/>
        </w:rPr>
      </w:r>
      <w:r>
        <w:rPr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2"/>
          <w:szCs w:val="22"/>
        </w:rPr>
      </w:pPr>
      <w:r>
        <w:rPr>
          <w:rFonts w:eastAsia="Calibri"/>
          <w:sz w:val="22"/>
          <w:szCs w:val="22"/>
        </w:rPr>
        <w:tab/>
        <w:t xml:space="preserve">«Хабаровская ТЭЦ-1</w:t>
      </w:r>
      <w:r>
        <w:rPr>
          <w:rFonts w:eastAsia="Calibri"/>
          <w:sz w:val="22"/>
          <w:szCs w:val="22"/>
        </w:rPr>
        <w:t xml:space="preserve">» – структурное подразделение АО «Дальневосточная генерирующая компания» (АО «ДГК»), входящее в Группу РусГидро, действует на территории г. </w:t>
      </w:r>
      <w:r>
        <w:rPr>
          <w:rFonts w:eastAsia="Calibri"/>
          <w:sz w:val="22"/>
          <w:szCs w:val="22"/>
        </w:rPr>
        <w:t xml:space="preserve">Хабаровск.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rFonts w:eastAsia="Calibri"/>
          <w:sz w:val="22"/>
          <w:szCs w:val="22"/>
          <w14:ligatures w14:val="none"/>
        </w:rPr>
      </w:r>
      <w:r>
        <w:rPr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  <w:t xml:space="preserve">Хабаровская ТЭЦ-1</w:t>
      </w:r>
      <w:r>
        <w:rPr>
          <w:rFonts w:eastAsia="Calibri"/>
          <w:sz w:val="22"/>
          <w:szCs w:val="22"/>
        </w:rPr>
        <w:t xml:space="preserve"> представляет собой тепловую электростанцию с комбинированной выработкой электроэнергии и тепла. </w:t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2"/>
          <w:szCs w:val="22"/>
          <w:highlight w:val="yellow"/>
        </w:rPr>
      </w:pPr>
      <w:r>
        <w:rPr>
          <w:rFonts w:eastAsia="Calibri"/>
          <w:sz w:val="22"/>
          <w:szCs w:val="22"/>
          <w:highlight w:val="none"/>
        </w:rPr>
      </w:r>
      <w:r>
        <w:rPr>
          <w:rFonts w:eastAsia="Calibri"/>
          <w:sz w:val="22"/>
          <w:szCs w:val="22"/>
          <w:highlight w:val="yellow"/>
        </w:rPr>
      </w:r>
      <w:r>
        <w:rPr>
          <w:rFonts w:eastAsia="Calibri"/>
          <w:sz w:val="22"/>
          <w:szCs w:val="22"/>
          <w:highlight w:val="yellow"/>
        </w:rPr>
      </w:r>
    </w:p>
    <w:p>
      <w:pPr>
        <w:pStyle w:val="956"/>
        <w:numPr>
          <w:ilvl w:val="0"/>
          <w:numId w:val="0"/>
        </w:numPr>
        <w:keepLines/>
        <w:spacing w:before="240"/>
        <w:rPr>
          <w:sz w:val="22"/>
          <w:szCs w:val="22"/>
        </w:rPr>
      </w:pPr>
      <w:r>
        <w:rPr>
          <w:sz w:val="22"/>
          <w:szCs w:val="22"/>
        </w:rPr>
      </w:r>
      <w:bookmarkStart w:id="7" w:name="_Таблица_1."/>
      <w:r>
        <w:rPr>
          <w:sz w:val="22"/>
          <w:szCs w:val="22"/>
        </w:rPr>
      </w:r>
      <w:bookmarkStart w:id="8" w:name="_Toc54646400"/>
      <w:r>
        <w:rPr>
          <w:sz w:val="22"/>
          <w:szCs w:val="22"/>
        </w:rPr>
      </w:r>
      <w:bookmarkEnd w:id="7"/>
      <w:r>
        <w:rPr>
          <w:sz w:val="22"/>
          <w:szCs w:val="22"/>
        </w:rPr>
        <w:t xml:space="preserve">Таблица 1. Перечень объектов заказчика</w:t>
      </w:r>
      <w:bookmarkEnd w:id="8"/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817"/>
        <w:gridCol w:w="2584"/>
        <w:gridCol w:w="2690"/>
        <w:gridCol w:w="2239"/>
        <w:gridCol w:w="1559"/>
      </w:tblGrid>
      <w:tr>
        <w:tblPrEx/>
        <w:trPr>
          <w:jc w:val="center"/>
        </w:trPr>
        <w:tc>
          <w:tcPr>
            <w:tcW w:w="817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sz w:val="22"/>
                <w:szCs w:val="22"/>
              </w:rPr>
              <w:br/>
            </w:r>
            <w:r>
              <w:rPr>
                <w:i/>
                <w:iCs/>
                <w:sz w:val="22"/>
                <w:szCs w:val="22"/>
              </w:rPr>
              <w:t xml:space="preserve">(место производства работ)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</w:rPr>
              <w:br/>
              <w:t xml:space="preserve">(в отношении которого выполняются работы)</w:t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817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1753"/>
        </w:trPr>
        <w:tc>
          <w:tcPr>
            <w:tcW w:w="817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30"/>
              </w:numPr>
              <w:contextualSpacing w:val="0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584" w:type="dxa"/>
            <w:textDirection w:val="lrTb"/>
            <w:noWrap w:val="false"/>
          </w:tcPr>
          <w:p>
            <w:pPr>
              <w:keepNext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Дополнительная секция буферного золоотвала</w:t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69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Хабаровский край, Хабаровский район, в районе села Ильинка, в 1,1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км по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направлению на юго-восток от ориентира 0 км автодороги обход г. Хабаровска км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0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–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км</w:t>
            </w:r>
            <w:r>
              <w:rPr>
                <w:spacing w:val="-6"/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</w:rPr>
              <w:t xml:space="preserve">13 автодороги Хабаровск – Владивосток с северо-восточной стороны существующей птицефабрики, расположенный за пределами участка.</w:t>
            </w:r>
            <w:r>
              <w:rPr>
                <w:sz w:val="22"/>
                <w:szCs w:val="22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Дополнительная секция буферного золоотвала II очередь II пусковой комплекс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Инвентарный номер </w:t>
            </w:r>
            <w:r>
              <w:rPr>
                <w:rFonts w:eastAsia="Calibri"/>
                <w:sz w:val="22"/>
                <w:szCs w:val="22"/>
              </w:rPr>
              <w:t xml:space="preserve">00000000000000011718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  <w:trHeight w:val="1691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155"/>
              <w:numPr>
                <w:ilvl w:val="0"/>
                <w:numId w:val="30"/>
              </w:numPr>
              <w:contextualSpacing w:val="0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584" w:type="dxa"/>
            <w:vMerge w:val="restart"/>
            <w:textDirection w:val="lrTb"/>
            <w:noWrap w:val="false"/>
          </w:tcPr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Буферный золоотвал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ffffff" w:fill="ffffff"/>
            <w:tcW w:w="26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9" w:type="dxa"/>
            <w:vMerge w:val="restart"/>
            <w:textDirection w:val="lrTb"/>
            <w:noWrap w:val="false"/>
          </w:tcPr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Буферный золоотвал / наращивание до 104 отметки /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Инвентарный номер</w:t>
            </w:r>
            <w:r>
              <w:rPr>
                <w:sz w:val="22"/>
                <w:szCs w:val="22"/>
              </w:rPr>
            </w:r>
          </w:p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00000000000000012487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keepNext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ind w:left="0" w:firstLine="0"/>
        <w:rPr>
          <w:sz w:val="22"/>
          <w:szCs w:val="22"/>
        </w:rPr>
      </w:pPr>
      <w:r>
        <w:rPr>
          <w:sz w:val="22"/>
          <w:szCs w:val="22"/>
        </w:rPr>
      </w:r>
      <w:bookmarkStart w:id="9" w:name="_Toc46743509"/>
      <w:r>
        <w:rPr>
          <w:sz w:val="22"/>
          <w:szCs w:val="22"/>
        </w:rPr>
      </w:r>
      <w:bookmarkStart w:id="10" w:name="_Hlk49857604"/>
      <w:r>
        <w:rPr>
          <w:sz w:val="22"/>
          <w:szCs w:val="22"/>
        </w:rPr>
      </w:r>
      <w:bookmarkStart w:id="11" w:name="_Toc54646401"/>
      <w:r>
        <w:rPr>
          <w:sz w:val="22"/>
          <w:szCs w:val="22"/>
        </w:rPr>
        <w:t xml:space="preserve">Информация в отношении исполнения договора, </w:t>
      </w:r>
      <w:bookmarkStart w:id="12" w:name="_Hlk46492347"/>
      <w:r>
        <w:rPr>
          <w:sz w:val="22"/>
          <w:szCs w:val="22"/>
        </w:rPr>
        <w:t xml:space="preserve">которая должна быть учтена при подготовке заявки </w:t>
      </w:r>
      <w:bookmarkEnd w:id="12"/>
      <w:r>
        <w:rPr>
          <w:sz w:val="22"/>
          <w:szCs w:val="22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>
        <w:rPr>
          <w:sz w:val="22"/>
          <w:szCs w:val="22"/>
        </w:rPr>
      </w:r>
      <w:bookmarkEnd w:id="10"/>
      <w:r>
        <w:rPr>
          <w:sz w:val="22"/>
          <w:szCs w:val="22"/>
        </w:rPr>
      </w:r>
      <w:bookmarkEnd w:id="11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numPr>
          <w:ilvl w:val="0"/>
          <w:numId w:val="0"/>
        </w:numPr>
        <w:ind w:firstLine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iCs/>
          <w:sz w:val="22"/>
          <w:szCs w:val="22"/>
        </w:rPr>
        <w:t xml:space="preserve">Требования к продукции</w:t>
      </w:r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</w:r>
      <w:bookmarkStart w:id="13" w:name="_Toc54646404"/>
      <w:r>
        <w:rPr>
          <w:sz w:val="22"/>
          <w:szCs w:val="22"/>
        </w:rPr>
        <w:t xml:space="preserve">Требования к объемам и срокам выполнения работ</w:t>
      </w:r>
      <w:bookmarkEnd w:id="13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8"/>
        <w:rPr>
          <w:sz w:val="22"/>
          <w:szCs w:val="22"/>
        </w:rPr>
      </w:pPr>
      <w:r>
        <w:rPr>
          <w:sz w:val="22"/>
          <w:szCs w:val="22"/>
        </w:rPr>
      </w:r>
      <w:bookmarkStart w:id="14" w:name="_Toc54646405"/>
      <w:r>
        <w:rPr>
          <w:sz w:val="22"/>
          <w:szCs w:val="22"/>
        </w:rPr>
        <w:t xml:space="preserve">Требования к видам и объемам работ</w:t>
      </w:r>
      <w:bookmarkEnd w:id="14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numPr>
          <w:ilvl w:val="0"/>
          <w:numId w:val="0"/>
        </w:numPr>
        <w:keepLines/>
        <w:spacing w:before="24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bookmarkStart w:id="15" w:name="_Toc51339695"/>
      <w:r>
        <w:rPr>
          <w:sz w:val="22"/>
          <w:szCs w:val="22"/>
          <w:highlight w:val="white"/>
        </w:rPr>
      </w:r>
      <w:bookmarkStart w:id="16" w:name="_Toc54646406"/>
      <w:r>
        <w:rPr>
          <w:sz w:val="22"/>
          <w:szCs w:val="22"/>
          <w:highlight w:val="white"/>
        </w:rPr>
        <w:t xml:space="preserve">Таблица 2. Перечень </w:t>
      </w:r>
      <w:bookmarkEnd w:id="15"/>
      <w:r>
        <w:rPr>
          <w:sz w:val="22"/>
          <w:szCs w:val="22"/>
          <w:highlight w:val="white"/>
        </w:rPr>
        <w:t xml:space="preserve">и объем выполняемых работ</w:t>
      </w:r>
      <w:bookmarkEnd w:id="16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849"/>
        <w:gridCol w:w="2127"/>
        <w:gridCol w:w="2126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Единица измерения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Количество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4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Подготовка  секции буферного </w:t>
            </w:r>
            <w:r>
              <w:rPr>
                <w:rFonts w:eastAsia="Calibri"/>
                <w:sz w:val="22"/>
                <w:szCs w:val="22"/>
              </w:rPr>
              <w:t xml:space="preserve">золоотвала</w:t>
            </w:r>
            <w:r>
              <w:rPr>
                <w:rFonts w:eastAsia="Calibri"/>
                <w:sz w:val="22"/>
                <w:szCs w:val="22"/>
              </w:rPr>
              <w:t xml:space="preserve"> для складирования золы в составе работ в соответствии с ВОР (Приложение №2 к настоящим </w:t>
            </w:r>
            <w:r>
              <w:rPr>
                <w:rFonts w:eastAsia="Calibri"/>
                <w:sz w:val="22"/>
                <w:szCs w:val="22"/>
              </w:rPr>
              <w:t xml:space="preserve">ТТ</w:t>
            </w:r>
            <w:r>
              <w:rPr>
                <w:rFonts w:eastAsia="Calibri"/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В соответствии с ведомостью объемов работ (Приложение №2 к настоящим ТТ)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4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Разработка и перемещению золы из дополнительной секции буферного золоотвала и складирование золы в буферный золоотвал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в составе работ в соответствии с ВОР (Приложение №2 к настоящим ТТ)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В соответствии с ведомостью объемов работ (Приложение №2 к настоящим ТТ)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155"/>
              <w:numPr>
                <w:ilvl w:val="0"/>
                <w:numId w:val="4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Рекультивация в составе работ в соответствии с ВОР (Приложение №2 к настоящим </w:t>
            </w:r>
            <w:r>
              <w:rPr>
                <w:rFonts w:eastAsia="Calibri"/>
                <w:sz w:val="22"/>
                <w:szCs w:val="22"/>
              </w:rPr>
              <w:t xml:space="preserve">ТТ</w:t>
            </w:r>
            <w:r>
              <w:rPr>
                <w:rFonts w:eastAsia="Calibri"/>
                <w:sz w:val="22"/>
                <w:szCs w:val="22"/>
              </w:rPr>
              <w:t xml:space="preserve">)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253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 соответствии с ведомостью объемов работ (Приложение №2 к настоящим ТТ)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</w:tbl>
    <w:p>
      <w:pPr>
        <w:pStyle w:val="958"/>
        <w:numPr>
          <w:ilvl w:val="0"/>
          <w:numId w:val="0"/>
        </w:numPr>
        <w:ind w:left="1224"/>
        <w:rPr>
          <w:sz w:val="22"/>
          <w:szCs w:val="22"/>
          <w:highlight w:val="yellow"/>
        </w:rPr>
      </w:pPr>
      <w:r>
        <w:rPr>
          <w:sz w:val="22"/>
          <w:szCs w:val="22"/>
        </w:rPr>
      </w:r>
      <w:bookmarkStart w:id="17" w:name="_Toc51339696"/>
      <w:r>
        <w:rPr>
          <w:sz w:val="22"/>
          <w:szCs w:val="22"/>
        </w:rPr>
      </w:r>
      <w:bookmarkStart w:id="18" w:name="_Toc54646407"/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958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Требования </w:t>
      </w:r>
      <w:bookmarkEnd w:id="17"/>
      <w:r>
        <w:rPr>
          <w:sz w:val="22"/>
          <w:szCs w:val="22"/>
          <w:highlight w:val="white"/>
        </w:rPr>
        <w:t xml:space="preserve">к срокам выполнения работ</w:t>
      </w:r>
      <w:bookmarkEnd w:id="18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56"/>
        <w:numPr>
          <w:ilvl w:val="0"/>
          <w:numId w:val="0"/>
        </w:numPr>
        <w:keepLines/>
        <w:spacing w:before="24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bookmarkStart w:id="19" w:name="_Toc50125127"/>
      <w:r>
        <w:rPr>
          <w:sz w:val="22"/>
          <w:szCs w:val="22"/>
          <w:highlight w:val="white"/>
        </w:rPr>
      </w:r>
      <w:bookmarkStart w:id="20" w:name="_Toc51339697"/>
      <w:r>
        <w:rPr>
          <w:sz w:val="22"/>
          <w:szCs w:val="22"/>
          <w:highlight w:val="white"/>
        </w:rPr>
      </w:r>
      <w:bookmarkStart w:id="21" w:name="_Toc54646408"/>
      <w:r>
        <w:rPr>
          <w:sz w:val="22"/>
          <w:szCs w:val="22"/>
          <w:highlight w:val="white"/>
        </w:rPr>
        <w:t xml:space="preserve">Таблица 3. </w:t>
      </w:r>
      <w:bookmarkStart w:id="22" w:name="_Hlk50465284"/>
      <w:r>
        <w:rPr>
          <w:sz w:val="22"/>
          <w:szCs w:val="22"/>
          <w:highlight w:val="white"/>
        </w:rPr>
        <w:t xml:space="preserve">Требования по срокам </w:t>
      </w:r>
      <w:bookmarkEnd w:id="19"/>
      <w:r>
        <w:rPr>
          <w:sz w:val="22"/>
          <w:szCs w:val="22"/>
          <w:highlight w:val="white"/>
        </w:rPr>
      </w:r>
      <w:bookmarkEnd w:id="20"/>
      <w:r>
        <w:rPr>
          <w:sz w:val="22"/>
          <w:szCs w:val="22"/>
          <w:highlight w:val="white"/>
        </w:rPr>
      </w:r>
      <w:bookmarkEnd w:id="22"/>
      <w:r>
        <w:rPr>
          <w:sz w:val="22"/>
          <w:szCs w:val="22"/>
          <w:highlight w:val="white"/>
        </w:rPr>
        <w:t xml:space="preserve">выполнения работ</w:t>
      </w:r>
      <w:bookmarkEnd w:id="21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110"/>
        <w:gridCol w:w="2835"/>
        <w:gridCol w:w="2157"/>
      </w:tblGrid>
      <w:tr>
        <w:tblPrEx/>
        <w:trPr/>
        <w:tc>
          <w:tcPr>
            <w:shd w:val="clear" w:color="auto" w:fill="auto"/>
            <w:tcW w:w="67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 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началу срока выполнения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окончанию срока выполнения работ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67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57"/>
              <w:jc w:val="center"/>
              <w:keepNext w:val="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pStyle w:val="1157"/>
              <w:jc w:val="center"/>
              <w:keepNext w:val="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679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5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11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Выполнение работ по разработке и перемещению золы из дополнительной секции 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буферного золоотвала в буферный золоотвал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в составе работ в соответствии с ВОР (Приложение №2 к настоящим ТТ)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в течение 5 (пяти) месяцев с даты заключения договора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rPr>
          <w:rFonts w:eastAsia="Calibri"/>
          <w:i/>
          <w:sz w:val="22"/>
          <w:szCs w:val="22"/>
          <w:highlight w:val="white"/>
        </w:rPr>
      </w:pPr>
      <w:r>
        <w:rPr>
          <w:rFonts w:eastAsia="Calibri"/>
          <w:i/>
          <w:sz w:val="22"/>
          <w:szCs w:val="22"/>
          <w:highlight w:val="white"/>
        </w:rPr>
      </w:r>
      <w:r>
        <w:rPr>
          <w:rFonts w:eastAsia="Calibri"/>
          <w:i/>
          <w:sz w:val="22"/>
          <w:szCs w:val="22"/>
          <w:highlight w:val="white"/>
        </w:rPr>
      </w:r>
      <w:r>
        <w:rPr>
          <w:rFonts w:eastAsia="Calibri"/>
          <w:i/>
          <w:sz w:val="22"/>
          <w:szCs w:val="22"/>
          <w:highlight w:val="white"/>
        </w:rPr>
      </w:r>
    </w:p>
    <w:p>
      <w:pPr>
        <w:jc w:val="both"/>
        <w:spacing w:line="360" w:lineRule="auto"/>
        <w:rPr>
          <w:i/>
          <w:sz w:val="22"/>
          <w:szCs w:val="22"/>
          <w:highlight w:val="yellow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851" w:right="850" w:bottom="396" w:left="1276" w:header="426" w:footer="74" w:gutter="0"/>
          <w:cols w:num="1" w:sep="0" w:space="708" w:equalWidth="1"/>
          <w:docGrid w:linePitch="360"/>
        </w:sectPr>
      </w:pPr>
      <w:r>
        <w:rPr>
          <w:rFonts w:eastAsia="Calibri"/>
          <w:i/>
          <w:sz w:val="22"/>
          <w:szCs w:val="22"/>
          <w:highlight w:val="white"/>
        </w:rPr>
        <w:tab/>
      </w:r>
      <w:r>
        <w:rPr>
          <w:i/>
          <w:sz w:val="22"/>
          <w:szCs w:val="22"/>
          <w:highlight w:val="yellow"/>
        </w:rPr>
      </w:r>
      <w:r>
        <w:rPr>
          <w:i/>
          <w:sz w:val="22"/>
          <w:szCs w:val="22"/>
          <w:highlight w:val="yellow"/>
        </w:rPr>
      </w:r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</w:r>
      <w:bookmarkStart w:id="24" w:name="_Toc51339698"/>
      <w:r>
        <w:rPr>
          <w:sz w:val="22"/>
          <w:szCs w:val="22"/>
        </w:rPr>
      </w:r>
      <w:bookmarkStart w:id="25" w:name="_Toc54646410"/>
      <w:r>
        <w:rPr>
          <w:sz w:val="22"/>
          <w:szCs w:val="22"/>
        </w:rPr>
        <w:t xml:space="preserve">Требования к качеству работ</w:t>
      </w:r>
      <w:r>
        <w:rPr>
          <w:sz w:val="22"/>
          <w:szCs w:val="22"/>
        </w:rPr>
      </w:r>
    </w:p>
    <w:p>
      <w:pPr>
        <w:pStyle w:val="956"/>
        <w:numPr>
          <w:ilvl w:val="0"/>
          <w:numId w:val="0"/>
        </w:numPr>
        <w:keepLines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Таблица 4. Требования к </w:t>
      </w:r>
      <w:bookmarkEnd w:id="24"/>
      <w:r>
        <w:rPr>
          <w:sz w:val="22"/>
          <w:szCs w:val="22"/>
        </w:rPr>
        <w:t xml:space="preserve">качеству работ</w:t>
      </w:r>
      <w:bookmarkEnd w:id="25"/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120"/>
        <w:rPr>
          <w:rStyle w:val="1152"/>
          <w:b w:val="0"/>
          <w:iCs/>
          <w:sz w:val="22"/>
          <w:szCs w:val="22"/>
        </w:rPr>
      </w:pPr>
      <w:r>
        <w:rPr>
          <w:b w:val="0"/>
          <w:iCs/>
          <w:sz w:val="22"/>
          <w:szCs w:val="22"/>
        </w:rPr>
      </w:r>
      <w:r>
        <w:rPr>
          <w:rStyle w:val="1152"/>
          <w:b w:val="0"/>
          <w:iCs/>
          <w:sz w:val="22"/>
          <w:szCs w:val="22"/>
        </w:rPr>
      </w:r>
      <w:r>
        <w:rPr>
          <w:rStyle w:val="1152"/>
          <w:b w:val="0"/>
          <w:iCs/>
          <w:sz w:val="22"/>
          <w:szCs w:val="22"/>
        </w:rPr>
      </w:r>
    </w:p>
    <w:tbl>
      <w:tblPr>
        <w:tblStyle w:val="1158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"/>
        <w:gridCol w:w="1417"/>
        <w:gridCol w:w="33"/>
        <w:gridCol w:w="250"/>
        <w:gridCol w:w="7512"/>
        <w:gridCol w:w="2298"/>
        <w:gridCol w:w="2410"/>
      </w:tblGrid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4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14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776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pStyle w:val="1159"/>
              <w:jc w:val="left"/>
              <w:keepNext w:val="0"/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  <w:tc>
          <w:tcPr>
            <w:tcW w:w="22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77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выполнении работ подрядчик должен руководствоваться следующими национальными, отраслевыми и корпоративными НТД: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Правила организации технического обслуживания и ремонта объектов электроэнергетики, утв. Приказом Минэнерго России от 25.10.2017 №1013;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РД 153-34.0-21.601-98 «Типовая инструкция по эксплуатации производственных зданий и сооружений предприятия. Часть 2. Раздел 2. Технология ремонтов зданий и сооружений» (утв.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Департаментом стратегии развития и научно-технической политики РАО "ЕЭС России" от 22.12.1998)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 58.13330.2019.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Свод правил. Гидротехнические сооружения. Основные положения. СНиП 33-01-2003 (утв. Приказом Минстроя России от 16.12.2019 № 811/пр);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 78.13330.2012.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Свод правил. Автомобильные дороги. Актуализированная редакция СНиП 3.06.03-85 (утв.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риказом Минрегиона России от 30.06.2012 № 272)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ГОСТ Р 59057-2020 Национальный стандарт Российской Федерации. Охрана окружающей среды. Земли. Общие требования по рекультивации нарушенных земель» (утв.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приказом Росстандарта от 30.09.2020 № 709-ст)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 (утв.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приказом НП "ИНВЭЛ" от 25.08.2009 № 62)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Положение 21-002-2019 «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Об организации и выполнению технического обслуживания и ремонта оборудования АО «ДГК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(Приложение №5 к настоящим ТТ);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Техническими условиями, ППР, планом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разработки и перемещения золы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(Приложение №6 к настоящим ТТ).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29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410" w:type="dxa"/>
            <w:vMerge w:val="restart"/>
            <w:textDirection w:val="lrTb"/>
            <w:noWrap w:val="false"/>
          </w:tcPr>
          <w:p>
            <w:pPr>
              <w:pStyle w:val="1159"/>
              <w:jc w:val="left"/>
              <w:keepNext w:val="0"/>
              <w:spacing w:before="0"/>
              <w:rPr>
                <w:rFonts w:ascii="Times New Roman" w:hAnsi="Times New Roman" w:cs="Times New Roman"/>
                <w:sz w:val="22"/>
                <w:szCs w:val="22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ребования к организации процесса выполнения работ:</w:t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Комплекс организационно–технических мероприятий, выполняемы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й при подготовке к работам, должен обеспечивать планомерное и качественное выполнение работ в установленные сроки, оптимальное расходование материально-технических и трудовые ресурсов.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До начала работ Подрядчик обязан: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Предоставить приказы на ответственных лиц, осуществляющих контроль на объекте по соблюд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ению тех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ники безопасности, охране труда.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Проверить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Определить состав бригад (участков)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для выполнения работ по Договору по численности, квалификации и профессиям в соответствии с сетевым графиком работ.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Назначить руководителей работ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 соответствии с номенклатурой и объемом работ, принятым по договору;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Назначить лиц, ответственных за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соблюдение норм и правил в области охраны труда, электробезопасности, пожарной и промышленной безопасности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и материально–техническое обеспечение;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Проверить удостоверения по охране труда рабочих и механизаторов, задействованных в выполнении работ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объекте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Проверяют выполнение требований допуска персонала, предусмотренного п. 1.2.2 технических требований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50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  <w:t xml:space="preserve">разрабатывают и предоставляют Заказчику на согласование ППР с указанием методов и технологии выполнения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  <w:t xml:space="preserve">работ, организационные вопросы, мероприятия по технике безопасности и охране труда.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vMerge w:val="restart"/>
            <w:textDirection w:val="lrTb"/>
            <w:noWrap w:val="false"/>
          </w:tcPr>
          <w:p>
            <w:pPr>
              <w:jc w:val="left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</w:tc>
        <w:tc>
          <w:tcPr>
            <w:gridSpan w:val="2"/>
            <w:tcW w:w="7762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55"/>
              <w:numPr>
                <w:ilvl w:val="0"/>
                <w:numId w:val="52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Положением о допуске персонала подрядных организаций к выполнению работ на объектах АО «ДГК» №22.1-504-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2025 (утверждено приказом АО «ДГК» от 25.09.2025г. №П-ДГК/795)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(Приложение №5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 настоящим ТТ)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55"/>
              <w:numPr>
                <w:ilvl w:val="0"/>
                <w:numId w:val="52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Инструкцией по организации пропускного режима ХТЭЦ-1 от 30.10.2024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(Приложение №5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 настоящим ТТ).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к запросу.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9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контролю качества материалов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Требования к материалам подрядчика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Материалы Подрядчика, необходимые для выполнения работ 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перемещению золы из дополнительной секции буферного золоотвала и пруда осветленной воды в буферный золоотвал СП Хабаровской ТЭЦ-1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 приобретаются Подрядчиком самостоятельно согласно ведомости материалов, являющейся приложением к настоящим Техническим требованиям (Приложение № 4).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Все применяемые материалы должны быть новыми и ранее не использованными, без повреждений.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ведомости материалов (Приложение №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настоящему ТТ),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   *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41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Контроль качества используемых  материалов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Подрядчик должен обеспечить входной контроль поступающих для выполнения работ материалов и запасных частей, включающий в себя проверку: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наличия соответствующих сертификатов;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наличия и надлежащего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заполнения документа о качестве и соответствии приведенных в нем данных характеристикам, установленным в нормативном документе, регламентирующем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технические требования к данной продукции.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none"/>
              </w:rPr>
              <w:t xml:space="preserve">Требования к  технике Подрядчика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7762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Минимальное количество техники Подрядчика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необходимые для выполнения работ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разработке и перемещению золы из дополнительной секции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буферного золоотвала в буферный золоотвал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Хабаровской ТЭЦ-1: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Экскаватор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вместимость ковша 0,5 (0,5-0,63) м3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1 единицы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Бульдозер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мощностью до 79 кВт (108 л.с.)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9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Автомобиль-с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амосвал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грузоподъёмностью до 15тн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2 единиц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45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Требования к контролю качества работ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gridSpan w:val="2"/>
            <w:tcW w:w="7762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о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 начала работ Подрядчик предоставляет на согласование Заказчику график выполнения работ, технологические карты, проекты производства работ. После окончания работ в срок Подрядчик представляет отчетные документы в объеме и форме определенной Заказчиком.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Контроль за ходом и качеством работ осуществляется как Подрядчиком совместно с Заказчиком.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Заказчик вправе в любое время проверять ход и качество работы, выполняемой Подрядчиком не вмешиваясь в его организационную деятельность.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Заказчик вправе вмешаться в производство работ Подрядчика, если последний: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своими дей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ствиями вызвал угрозу нарушения нормальной эксплуатации действующего золоотвала Хабаровской ТЭЦ-1 или нарушает ПТЭ, ПТБ, правила Ростехнадзора РФ, правила противопожарной безопасности или угрозу жизни людей, или угрозу экологической безопасности населения;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выполняет работы с нарушением согласованного графика, если окончание их в срок невозможно;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допустил дефекты, которые могут быть скрыты последующими работами;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18"/>
              </w:numPr>
              <w:ind w:left="0" w:firstLine="34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выполняет требования технологической и нормативно-технической документации.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персоналу подрядчика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ind w:right="97" w:firstLine="460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Подрядчик должен: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Обеспечить наличие допусков, разрешений и лицензий, необходимых для производства Работ.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В соответствие с установленными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Провести инструктаж персонала, задействованного при производстве Работ, обе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Проводить работы аттестованными и квалифицированными специалист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ами рабочих специальностей и ИТР, которые обучены смежным профессиям (стропальщик; землекоп) и иметь удостоверение об обучении смежной профессии в организации, имеющей лицензию и ежегодно проходить проверку знаний.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</w:rPr>
              <w:t xml:space="preserve">Лицо ответственное за производство работ на объекте должно быть аттестовано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в Ростехнадзоре в области В.2. Гидротехнические сооружения объектов энергетики.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"/>
              </w:numPr>
              <w:ind w:left="0" w:firstLine="34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Align w:val="center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Требования к безопасности выполняемых работ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7795" w:type="dxa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СО34.03.201-97 (РД 34.03.201-97) Правила техники безопасности при эксплуатации тепломеханического оборудования электростанци</w:t>
            </w:r>
            <w:r>
              <w:rPr>
                <w:sz w:val="22"/>
                <w:szCs w:val="22"/>
                <w:highlight w:val="none"/>
              </w:rPr>
              <w:t xml:space="preserve">й и тепловых сетей;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iCs/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6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ТР </w:t>
            </w:r>
            <w:r>
              <w:rPr>
                <w:sz w:val="22"/>
                <w:szCs w:val="22"/>
                <w:highlight w:val="none"/>
              </w:rPr>
              <w:t xml:space="preserve">ТС 010/2011 Технический регламент Таможенного союза "О безопасности машин и оборудования" </w:t>
            </w:r>
            <w:r>
              <w:rPr>
                <w:sz w:val="22"/>
                <w:szCs w:val="22"/>
                <w:highlight w:val="none"/>
              </w:rPr>
              <w:t xml:space="preserve">от 18.10.2011 № 010/2011.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66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ИПБОТ-ЗАО "ССК"-378-2008 Инструкция по промышленной безопасности и охране труда при проведении земляных работ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24.05.2017 № 378-2008.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к пожарной безопасности</w:t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7795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3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Правилах</w:t>
            </w:r>
            <w:r>
              <w:rPr>
                <w:bCs/>
                <w:sz w:val="22"/>
                <w:szCs w:val="22"/>
                <w:highlight w:val="none"/>
              </w:rPr>
              <w:t xml:space="preserve"> противопожарного режима в Российской Федерации, утверждены  Постановлением Правительства РФ от 16.09.2020 № 1479;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3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22.07.2008 № 123-ФЗ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«Технический регламент о требованиях пожарной безопасности»;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3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ГОСТ 12.1.004-91 «Система стандартов безопасности труда (ССБТ). Пожарная безопасность. Общие требования</w:t>
            </w:r>
            <w:r>
              <w:rPr>
                <w:iCs/>
                <w:sz w:val="22"/>
                <w:szCs w:val="22"/>
                <w:highlight w:val="none"/>
              </w:rPr>
              <w:t xml:space="preserve">» (утв. </w:t>
            </w:r>
            <w:r>
              <w:rPr>
                <w:sz w:val="22"/>
                <w:szCs w:val="22"/>
                <w:highlight w:val="none"/>
              </w:rPr>
              <w:t xml:space="preserve">постановлением Госстандарта СССР от 14.06.1991 № 875</w:t>
            </w:r>
            <w:r>
              <w:rPr>
                <w:iCs/>
                <w:sz w:val="22"/>
                <w:szCs w:val="22"/>
                <w:highlight w:val="none"/>
              </w:rPr>
              <w:t xml:space="preserve">)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ind w:left="0" w:right="0" w:firstLine="425"/>
              <w:jc w:val="both"/>
              <w:tabs>
                <w:tab w:val="left" w:pos="256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Место производства работ</w:t>
            </w:r>
            <w:r>
              <w:rPr>
                <w:iCs/>
                <w:sz w:val="22"/>
                <w:szCs w:val="22"/>
                <w:highlight w:val="none"/>
              </w:rPr>
              <w:t xml:space="preserve"> должно быть оснащено средствами пожаротушения.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7795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При выполнении всех ремонтных и общестроительных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225" w:firstLine="425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4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10.01.2002 № 7-ФЗ «Об охране окружающей среды»;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4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04.05.1999 № 96-ФЗ «Об охране атмосферного воздуха»;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4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03.06.2006 № 74-ФЗ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</w:t>
            </w:r>
            <w:r>
              <w:rPr>
                <w:iCs/>
                <w:sz w:val="22"/>
                <w:szCs w:val="22"/>
                <w:highlight w:val="none"/>
              </w:rPr>
              <w:t xml:space="preserve">Водный кодекс Российской Федерации</w:t>
            </w:r>
            <w:r>
              <w:rPr>
                <w:iCs/>
                <w:sz w:val="22"/>
                <w:szCs w:val="22"/>
                <w:highlight w:val="none"/>
              </w:rPr>
              <w:t xml:space="preserve">»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СТО 70238424.13.060.30.001-2008 Тепловые электрические станции. Экологическая безопасность. Защита водной среды. Нормы и требования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155"/>
              <w:numPr>
                <w:ilvl w:val="0"/>
                <w:numId w:val="68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СП 34.13330.2021 «СНиП 2.02.02-85* Автомобильные дороги» (утв. </w:t>
            </w:r>
            <w:r>
              <w:rPr>
                <w:sz w:val="22"/>
                <w:szCs w:val="22"/>
                <w:highlight w:val="none"/>
              </w:rPr>
              <w:t xml:space="preserve">Приказ Министерства строительства и жилищно-коммунального хозяйства Российской Федерации от 09.02.2021 № 53/пр)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pStyle w:val="1155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охраны труда</w:t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  <w:p>
            <w:pPr>
              <w:spacing w:before="60" w:after="60"/>
              <w:rPr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7795" w:type="dxa"/>
            <w:vMerge w:val="restart"/>
            <w:textDirection w:val="lrTb"/>
            <w:noWrap w:val="false"/>
          </w:tcPr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К</w:t>
            </w:r>
            <w:r>
              <w:rPr>
                <w:iCs/>
                <w:sz w:val="22"/>
                <w:szCs w:val="22"/>
                <w:highlight w:val="none"/>
              </w:rPr>
              <w:t xml:space="preserve">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Заказчик </w:t>
            </w:r>
            <w:r>
              <w:rPr>
                <w:iCs/>
                <w:sz w:val="22"/>
                <w:szCs w:val="22"/>
                <w:highlight w:val="none"/>
              </w:rPr>
              <w:t xml:space="preserve">о</w:t>
            </w:r>
            <w:r>
              <w:rPr>
                <w:iCs/>
                <w:sz w:val="22"/>
                <w:szCs w:val="22"/>
                <w:highlight w:val="none"/>
              </w:rPr>
              <w:t xml:space="preserve">знакомляет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работ. Для производства работ в охранной зоне необходимо получить наряд-</w:t>
            </w:r>
            <w:r>
              <w:rPr>
                <w:iCs/>
                <w:sz w:val="22"/>
                <w:szCs w:val="22"/>
                <w:highlight w:val="none"/>
              </w:rPr>
              <w:t xml:space="preserve">допуск.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5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Правила по охране труда при строительстве, реконструкции и ремонте (</w:t>
            </w:r>
            <w:r>
              <w:rPr>
                <w:sz w:val="22"/>
                <w:szCs w:val="22"/>
                <w:highlight w:val="none"/>
              </w:rPr>
              <w:t xml:space="preserve">Приказ Минтруда России от 11.12.2020 № 883н</w:t>
            </w:r>
            <w:r>
              <w:rPr>
                <w:sz w:val="22"/>
                <w:szCs w:val="22"/>
                <w:highlight w:val="none"/>
              </w:rPr>
              <w:t xml:space="preserve">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5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65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70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70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Все работники должны быть обеспечены спецодеждой, </w:t>
            </w:r>
            <w:r>
              <w:rPr>
                <w:sz w:val="22"/>
                <w:szCs w:val="22"/>
                <w:highlight w:val="none"/>
              </w:rPr>
              <w:t xml:space="preserve">спецобувью</w:t>
            </w:r>
            <w:r>
              <w:rPr>
                <w:sz w:val="22"/>
                <w:szCs w:val="22"/>
                <w:highlight w:val="none"/>
              </w:rPr>
              <w:t xml:space="preserve"> и другими </w:t>
            </w:r>
            <w:r>
              <w:rPr>
                <w:sz w:val="22"/>
                <w:szCs w:val="22"/>
                <w:highlight w:val="none"/>
              </w:rPr>
              <w:t xml:space="preserve">СИЗ</w:t>
            </w:r>
            <w:r>
              <w:rPr>
                <w:sz w:val="22"/>
                <w:szCs w:val="22"/>
                <w:highlight w:val="none"/>
              </w:rPr>
              <w:t xml:space="preserve"> в соответствии с типовыми отраслевыми нормами.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  <w:t xml:space="preserve"> </w:t>
            </w:r>
            <w:r>
              <w:rPr>
                <w:i/>
                <w:sz w:val="22"/>
                <w:szCs w:val="22"/>
                <w:highlight w:val="non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Состояние ограждающей и разделительной дамбы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дополнительной секции буферного золоотвала и дамбы буферного золоотвала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Хабаровской ТЭЦ-1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после вып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олнения работ по перемещению золы должно соответствовать требованиям нормативно-технической документации в течение гарантийного срока и обеспечить надежную эксплуатацию золоотвала с момента приемки работ при соблюдении электростанцией правил эксплуатации.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порядку приемки результатов работ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Подробно указаны в проекте договора подряда (в том числе в разделе № 4), который включен в состав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ке.</w:t>
            </w:r>
            <w:r>
              <w:rPr>
                <w:rStyle w:val="1152"/>
                <w:rFonts w:ascii="Times New Roman" w:hAnsi="Times New Roman" w:eastAsia="Times New Roman" w:cs="Times New Roman"/>
                <w:bCs/>
                <w:color w:val="ffffff" w:themeColor="background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  <w:highlight w:val="whit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108" w:type="dxa"/>
              <w:bottom w:w="0" w:type="dxa"/>
            </w:tcMa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2.3.1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3"/>
            <w:tcW w:w="170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Общие требования к оформлению документации</w:t>
            </w:r>
            <w:bookmarkEnd w:id="0"/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12" w:type="dxa"/>
            <w:vMerge w:val="restart"/>
            <w:textDirection w:val="lrTb"/>
            <w:noWrap w:val="false"/>
          </w:tcPr>
          <w:p>
            <w:pPr>
              <w:ind w:left="27" w:right="0" w:firstLine="398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одрядчик </w:t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редставляет</w:t>
            </w:r>
            <w:r>
              <w:rPr>
                <w:iCs/>
                <w:sz w:val="22"/>
                <w:szCs w:val="22"/>
                <w:highlight w:val="none"/>
              </w:rPr>
              <w:t xml:space="preserve"> Заказчику электронные версии Акта </w:t>
            </w:r>
            <w:r>
              <w:rPr>
                <w:iCs/>
                <w:sz w:val="22"/>
                <w:szCs w:val="22"/>
                <w:highlight w:val="none"/>
              </w:rPr>
              <w:br/>
              <w:t xml:space="preserve">КС-2 и Справки КС-3 на цифровом носителе в формате *gsfx ПК «ГРАНД Сметы», в формате *.pdf) и на бумажном носителе в 3-х экземплярах, исполнитель</w:t>
            </w:r>
            <w:r>
              <w:rPr>
                <w:iCs/>
                <w:sz w:val="22"/>
                <w:szCs w:val="22"/>
                <w:highlight w:val="none"/>
              </w:rPr>
              <w:t xml:space="preserve">ную документацию в электронном виде (в формате *.pdf) и на бумажном носителе в 3-х экземплярах.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27" w:right="0" w:firstLine="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1"/>
              </w:num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Положением 21-003-2019 «Об организации контроля и приемке выполненных работ на ремонтируемых объектах,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объектах модернизации, реконструкции и технического перевооружения.», утвержденным приказом № 555 от 29.11.2019 г. АО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«ДГК» (Приложение №5 к настоящим ТТ):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1"/>
              </w:numPr>
              <w:ind w:left="0" w:right="0" w:firstLine="425"/>
              <w:jc w:val="both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Приказом Минстроя России от 16.05.2023 №344/пр </w:t>
            </w:r>
            <w:r>
              <w:rPr>
                <w:sz w:val="22"/>
                <w:szCs w:val="22"/>
                <w:highlight w:val="none"/>
              </w:rPr>
              <w:t xml:space="preserve">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ind w:left="27" w:right="0" w:firstLine="398"/>
              <w:jc w:val="both"/>
              <w:rPr>
                <w:iCs/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0"/>
        </w:trPr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2.3.2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3"/>
            <w:tcW w:w="1701" w:type="dxa"/>
            <w:vMerge w:val="restart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</w:rPr>
            </w:r>
          </w:p>
        </w:tc>
        <w:tc>
          <w:tcPr>
            <w:tcW w:w="7512" w:type="dxa"/>
            <w:vMerge w:val="restart"/>
            <w:textDirection w:val="lrTb"/>
            <w:noWrap w:val="false"/>
          </w:tcPr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Исполнительные геодезические схемы участков разработанной золы в дополнительной секции буферного золоотвала;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Исполнительные геодезические съемки отсыпки золы в буферный золоотвал Хабаровская ТЭЦ-1;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Исполнительные схемы временных дорог;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Исполнительные схемы на ремонт и содержания существующих дорог;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Исполнительные схемы рекультивации буферного золоотвала Хабаровская ТЭЦ-1;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Общий журнал работ;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Уточненная ведомость объёма работ;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Акты освидетельствования скрытых работ;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Копии рапортов работы механизмов;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Копии путевых листов на автотранспорт;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Табеля учета работы механизмов и автотранспорта,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Акты приемки выполненных работ;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2"/>
              </w:numPr>
              <w:jc w:val="both"/>
              <w:tabs>
                <w:tab w:val="left" w:pos="85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фото/видео материалы (при необходимости);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155"/>
              <w:numPr>
                <w:ilvl w:val="0"/>
                <w:numId w:val="70"/>
              </w:numPr>
              <w:jc w:val="both"/>
              <w:tabs>
                <w:tab w:val="left" w:pos="85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другие документы по усмотрению Сторон с учетом специфики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27" w:right="0" w:firstLine="398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Исполнительная документация должна обеспечивать достоверность и полноту сведений о фактически выполн</w:t>
            </w:r>
            <w:r>
              <w:rPr>
                <w:sz w:val="22"/>
                <w:szCs w:val="22"/>
                <w:highlight w:val="none"/>
              </w:rPr>
              <w:t xml:space="preserve">енных Работах.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spacing w:before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3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</w:rPr>
            </w:pPr>
            <w:r>
              <w:rPr>
                <w:bCs/>
                <w:iCs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№ 384-ФЗ "Технический регламент о безопасности зданий и сооружений" (утв. </w:t>
            </w:r>
            <w:r>
              <w:rPr>
                <w:sz w:val="22"/>
                <w:szCs w:val="22"/>
                <w:highlight w:val="none"/>
              </w:rPr>
              <w:t xml:space="preserve">приказом Федерального агентства по техническому регулированию и метрологии от 02.04.2020 № 687)</w:t>
            </w:r>
            <w:r>
              <w:rPr>
                <w:bCs/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bCs/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3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При возникновении необходимости проведен</w:t>
            </w:r>
            <w:r>
              <w:rPr>
                <w:sz w:val="22"/>
                <w:szCs w:val="22"/>
                <w:highlight w:val="none"/>
              </w:rPr>
              <w:t xml:space="preserve">ия аварийно-</w:t>
            </w:r>
            <w:r>
              <w:rPr>
                <w:sz w:val="22"/>
                <w:szCs w:val="22"/>
                <w:highlight w:val="none"/>
              </w:rPr>
              <w:t xml:space="preserve">восстановительных работ, порядок взаимодействия Заказчика и Подрядчика определяется в соответствии с Положением АО «ДГК» 21-004-2017 «по формированию и управлению работой аварийных бригад при выполнении аварийных работ на оборудовании СП филиалов АО «ДГК» </w:t>
            </w:r>
            <w:r>
              <w:rPr>
                <w:sz w:val="22"/>
                <w:szCs w:val="22"/>
                <w:highlight w:val="none"/>
              </w:rPr>
              <w:t xml:space="preserve">(Приложение №5 к настоящим ТТ)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jc w:val="both"/>
              <w:spacing w:before="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2"/>
        </w:trPr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pStyle w:val="1155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bidi="ru-RU"/>
              </w:rPr>
              <w:t xml:space="preserve">Подробно требования 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ответственности подрядчика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ru-RU"/>
              </w:rPr>
              <w:t xml:space="preserve">указаны в проекте договора подряда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bidi="ru-RU"/>
              </w:rPr>
              <w:t xml:space="preserve">(в том числе в разделе №6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keepNext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Подробно требования к сроку и объему предоставления гарантий указаны в проекте договора подряда (в том числе в разделе  №7),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textDirection w:val="lrTb"/>
            <w:noWrap w:val="false"/>
          </w:tcPr>
          <w:p>
            <w:pPr>
              <w:keepNext/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 субподрядным организациям, привлекаемым к выполнению работ: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keepNext/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включен в состав Документации о закупке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2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pStyle w:val="1155"/>
              <w:numPr>
                <w:ilvl w:val="0"/>
                <w:numId w:val="6"/>
              </w:num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W w:w="13921" w:type="dxa"/>
            <w:vMerge w:val="restart"/>
            <w:textDirection w:val="lrTb"/>
            <w:noWrap w:val="false"/>
          </w:tcPr>
          <w:p>
            <w:pPr>
              <w:keepNext/>
              <w:spacing w:before="60" w:after="60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Победителю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27" w:right="0" w:firstLine="398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Участник, признанный </w:t>
            </w:r>
            <w:r>
              <w:rPr>
                <w:sz w:val="22"/>
                <w:szCs w:val="22"/>
                <w:highlight w:val="none"/>
              </w:rPr>
              <w:t xml:space="preserve">победителем</w:t>
            </w:r>
            <w:r>
              <w:rPr>
                <w:sz w:val="22"/>
                <w:szCs w:val="22"/>
                <w:highlight w:val="non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5" w:tooltip="http://www.zakupki.gov.ru" w:history="1">
              <w:r>
                <w:rPr>
                  <w:sz w:val="22"/>
                  <w:szCs w:val="22"/>
                  <w:highlight w:val="none"/>
                </w:rPr>
                <w:t xml:space="preserve">www.zakupki.gov.ru</w:t>
              </w:r>
            </w:hyperlink>
            <w:r>
              <w:rPr>
                <w:sz w:val="22"/>
                <w:szCs w:val="22"/>
                <w:highlight w:val="none"/>
              </w:rPr>
              <w:t xml:space="preserve"> (до заключения договора), должен предоставить в адрес Заказчика </w:t>
            </w:r>
            <w:r>
              <w:rPr>
                <w:sz w:val="22"/>
                <w:szCs w:val="22"/>
                <w:highlight w:val="none"/>
              </w:rPr>
              <w:t xml:space="preserve">на электронный адрес </w:t>
            </w:r>
            <w:r>
              <w:rPr>
                <w:sz w:val="22"/>
                <w:szCs w:val="22"/>
                <w:highlight w:val="none"/>
              </w:rPr>
              <w:t xml:space="preserve">kolomin-os@dgk.ru</w:t>
            </w:r>
            <w:r>
              <w:rPr>
                <w:sz w:val="22"/>
                <w:szCs w:val="22"/>
                <w:highlight w:val="none"/>
              </w:rPr>
              <w:t xml:space="preserve"> дополнительные документы.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27" w:right="0" w:firstLine="398"/>
              <w:jc w:val="both"/>
              <w:rPr>
                <w:bCs/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sz w:val="22"/>
                <w:szCs w:val="22"/>
                <w:highlight w:val="non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bCs/>
                <w:sz w:val="22"/>
                <w:szCs w:val="22"/>
                <w:highlight w:val="none"/>
                <w14:ligatures w14:val="none"/>
              </w:rPr>
            </w:r>
            <w:r>
              <w:rPr>
                <w:bCs/>
                <w:sz w:val="22"/>
                <w:szCs w:val="22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79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Согласно требования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2-х человек (руководитель, производитель работ) прошедших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955"/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Копиями документов проверки знаний требований охраны труда обученных лиц, не менее чем на 2 человек, (руководитель, производитель работ),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360" w:firstLine="0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921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  <w:t xml:space="preserve">Требования к МТР Победителя: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  <w:u w:val="single"/>
              </w:rPr>
            </w:r>
          </w:p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 выполнения работ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разработке и перемещению золы из дополнительной секции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буферного золоотвала в буферный золоотвал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Хабаровской ТЭЦ-1 Победитель должен иметь на правах собственности или ином законном основании минимально необходимое количество спец техники: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55"/>
              <w:numPr>
                <w:ilvl w:val="0"/>
                <w:numId w:val="74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Экскаватор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вместимость ковша 0,5 (0,5-0,63) м3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1 единицы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4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Бульдозер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мощностью до 79 кВт (108 л.с.)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155"/>
              <w:numPr>
                <w:ilvl w:val="0"/>
                <w:numId w:val="74"/>
              </w:numPr>
              <w:ind w:right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Автомобиль-с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амосвал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грузоподъёмностью до 15тн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не менее 2 единиц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копиями договоров аренды (в случае владения по договору аренды) и/или копиями договоров оказания услуг и/или копиями иных документов, подтверждающих законное право владения (в случае вл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адения на ином основании).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spacing w:after="160" w:line="259" w:lineRule="auto"/>
        <w:rPr>
          <w:sz w:val="22"/>
          <w:szCs w:val="22"/>
        </w:rPr>
        <w:sectPr>
          <w:headerReference w:type="default" r:id="rId11"/>
          <w:headerReference w:type="first" r:id="rId12"/>
          <w:footerReference w:type="default" r:id="rId14"/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26" w:name="_Toc53393312"/>
      <w:r>
        <w:rPr>
          <w:sz w:val="22"/>
          <w:szCs w:val="22"/>
        </w:rPr>
      </w:r>
      <w:bookmarkStart w:id="27" w:name="_Toc54646411"/>
      <w:r>
        <w:rPr>
          <w:sz w:val="22"/>
          <w:szCs w:val="22"/>
        </w:rPr>
      </w:r>
      <w:bookmarkStart w:id="28" w:name="_Toc46743519"/>
      <w:r>
        <w:rPr>
          <w:sz w:val="22"/>
          <w:szCs w:val="22"/>
        </w:rPr>
      </w:r>
      <w:bookmarkStart w:id="29" w:name="_Toc51339699"/>
      <w:r>
        <w:rPr>
          <w:sz w:val="22"/>
          <w:szCs w:val="22"/>
        </w:rPr>
        <w:t xml:space="preserve">Требования к документации по ценообразованию</w:t>
      </w:r>
      <w:bookmarkEnd w:id="26"/>
      <w:r>
        <w:rPr>
          <w:sz w:val="22"/>
          <w:szCs w:val="22"/>
        </w:rPr>
        <w:t xml:space="preserve"> на этапе закупки</w:t>
      </w:r>
      <w:bookmarkEnd w:id="27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ind w:left="1418" w:hanging="709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2"/>
          <w:szCs w:val="22"/>
          <w:highlight w:val="none"/>
        </w:rPr>
        <w:t xml:space="preserve">В обоснование стоимости сво</w:t>
      </w:r>
      <w:r>
        <w:rPr>
          <w:b w:val="0"/>
          <w:bCs w:val="0"/>
          <w:sz w:val="22"/>
          <w:szCs w:val="22"/>
          <w:highlight w:val="none"/>
        </w:rPr>
        <w:t xml:space="preserve">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Стоимость предложений участников определяется по формуле: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center"/>
        <w:spacing w:before="0" w:line="240" w:lineRule="auto"/>
        <w:tabs>
          <w:tab w:val="left" w:pos="567" w:leader="none"/>
        </w:tabs>
        <w:rPr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P=N*k,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где     P – стоимость предложения участника;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2"/>
          <w:szCs w:val="22"/>
          <w:highlight w:val="none"/>
        </w:rPr>
      </w:pPr>
      <w:r>
        <w:rPr>
          <w:i w:val="0"/>
          <w:iCs w:val="0"/>
          <w:sz w:val="22"/>
          <w:szCs w:val="22"/>
          <w:highlight w:val="none"/>
        </w:rPr>
        <w:t xml:space="preserve">N – начальная (максимальная) цена договора</w:t>
      </w:r>
      <w:r>
        <w:rPr>
          <w:i w:val="0"/>
          <w:iCs w:val="0"/>
          <w:sz w:val="22"/>
          <w:szCs w:val="22"/>
          <w:highlight w:val="none"/>
        </w:rPr>
        <w:t xml:space="preserve"> (цена лота)</w:t>
      </w:r>
      <w:r>
        <w:rPr>
          <w:i w:val="0"/>
          <w:iCs w:val="0"/>
          <w:sz w:val="22"/>
          <w:szCs w:val="22"/>
          <w:highlight w:val="none"/>
        </w:rPr>
        <w:t xml:space="preserve">, определенная в соответствии со сметной документацией Заказчика, приведенной в приложении №3 к настоящим Техническим требованиям; </w:t>
      </w:r>
      <w:r>
        <w:rPr>
          <w:bCs w:val="0"/>
          <w:i w:val="0"/>
          <w:sz w:val="22"/>
          <w:szCs w:val="22"/>
          <w:highlight w:val="none"/>
        </w:rPr>
      </w:r>
      <w:r>
        <w:rPr>
          <w:bCs w:val="0"/>
          <w:i w:val="0"/>
          <w:sz w:val="22"/>
          <w:szCs w:val="22"/>
          <w:highlight w:val="none"/>
        </w:rPr>
      </w:r>
    </w:p>
    <w:p>
      <w:pPr>
        <w:pStyle w:val="959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Cs w:val="0"/>
          <w:i w:val="0"/>
          <w:sz w:val="22"/>
          <w:szCs w:val="22"/>
          <w:highlight w:val="none"/>
        </w:rPr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k – 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понижающий коэффициент, заявленный участником 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b w:val="0"/>
          <w:bCs w:val="0"/>
          <w:iCs/>
          <w:sz w:val="22"/>
          <w:szCs w:val="22"/>
        </w:rPr>
        <w:t xml:space="preserve">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59"/>
        <w:ind w:left="1418" w:hanging="709"/>
        <w:jc w:val="both"/>
        <w:rPr>
          <w:b w:val="0"/>
          <w:iCs/>
          <w:sz w:val="22"/>
          <w:szCs w:val="22"/>
        </w:rPr>
      </w:pPr>
      <w:r>
        <w:rPr>
          <w:b w:val="0"/>
          <w:iCs/>
          <w:sz w:val="22"/>
          <w:szCs w:val="22"/>
        </w:rPr>
        <w:t xml:space="preserve">Дополнительные документы по ценообразованию (сметная документация) в состав заявки Участника не включаются».</w:t>
      </w:r>
      <w:r>
        <w:rPr>
          <w:b w:val="0"/>
          <w:iCs/>
          <w:sz w:val="22"/>
          <w:szCs w:val="22"/>
        </w:rPr>
      </w:r>
      <w:r>
        <w:rPr>
          <w:b w:val="0"/>
          <w:iCs/>
          <w:sz w:val="22"/>
          <w:szCs w:val="22"/>
        </w:rPr>
      </w:r>
    </w:p>
    <w:p>
      <w:pPr>
        <w:pStyle w:val="956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rPr>
          <w:rFonts w:eastAsia="Calibri"/>
          <w:b/>
          <w:iCs/>
          <w:sz w:val="22"/>
          <w:szCs w:val="22"/>
        </w:rPr>
      </w:pPr>
      <w:r>
        <w:rPr>
          <w:rFonts w:eastAsia="Calibri"/>
          <w:b/>
          <w:iCs/>
          <w:sz w:val="22"/>
          <w:szCs w:val="22"/>
        </w:rPr>
      </w:r>
      <w:r>
        <w:rPr>
          <w:rFonts w:eastAsia="Calibri"/>
          <w:b/>
          <w:iCs/>
          <w:sz w:val="22"/>
          <w:szCs w:val="22"/>
        </w:rPr>
      </w:r>
      <w:r>
        <w:rPr>
          <w:rFonts w:eastAsia="Calibri"/>
          <w:b/>
          <w:iCs/>
          <w:sz w:val="22"/>
          <w:szCs w:val="22"/>
        </w:rPr>
      </w:r>
    </w:p>
    <w:p>
      <w:pPr>
        <w:pStyle w:val="956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0" w:name="_Toc54646412"/>
      <w:r>
        <w:rPr>
          <w:sz w:val="22"/>
          <w:szCs w:val="22"/>
        </w:rPr>
        <w:t xml:space="preserve">Требования к документации по ценообразованию на этапе заключения (исполнения) договора</w:t>
      </w:r>
      <w:bookmarkEnd w:id="3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6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pStyle w:val="959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59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  <w:highlight w:val="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  <w:highlight w:val="none"/>
        </w:rPr>
        <w:t xml:space="preserve">приложении №1 к настоящим ТТ, и включается в состав договора с применением понижающего коэффициента, указанного в заявке Участника, с которым принято решение заключить договор.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Понижающий коэффициент начисляется в локальн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ых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смет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ах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единым индексом в итогах</w:t>
      </w:r>
      <w:r>
        <w:rPr>
          <w:b w:val="0"/>
          <w:bCs w:val="0"/>
          <w:iCs/>
          <w:sz w:val="22"/>
          <w:szCs w:val="22"/>
        </w:rPr>
        <w:t xml:space="preserve">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59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59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(на этапе исполнения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959"/>
        <w:numPr>
          <w:ilvl w:val="2"/>
          <w:numId w:val="1"/>
        </w:numPr>
        <w:ind w:left="1418" w:hanging="709"/>
        <w:jc w:val="both"/>
        <w:rPr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 случае возникновения непредвиденных расходов в рамках реализации договора необходимо составлять и оф</w:t>
      </w:r>
      <w:r>
        <w:rPr>
          <w:b w:val="0"/>
          <w:bCs w:val="0"/>
          <w:iCs/>
          <w:sz w:val="22"/>
          <w:szCs w:val="22"/>
        </w:rPr>
        <w:t xml:space="preserve">о</w:t>
      </w:r>
      <w:r>
        <w:rPr>
          <w:b w:val="0"/>
          <w:bCs w:val="0"/>
          <w:iCs/>
          <w:sz w:val="22"/>
          <w:szCs w:val="22"/>
        </w:rPr>
        <w:t xml:space="preserve">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(п. 4.1.1).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</w:t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numPr>
          <w:ilvl w:val="0"/>
          <w:numId w:val="0"/>
        </w:numPr>
        <w:jc w:val="both"/>
        <w:rPr>
          <w:b w:val="0"/>
          <w:bCs w:val="0"/>
          <w:sz w:val="22"/>
          <w:szCs w:val="22"/>
        </w:rPr>
      </w:pPr>
      <w:r>
        <w:rPr>
          <w:iCs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shd w:val="nil" w:color="auto"/>
        <w:rPr>
          <w:sz w:val="22"/>
          <w:szCs w:val="22"/>
          <w:highlight w:val="none"/>
        </w:rPr>
      </w:pPr>
      <w:r>
        <w:rPr>
          <w:iCs/>
          <w:sz w:val="22"/>
          <w:szCs w:val="22"/>
          <w:highlight w:val="none"/>
        </w:rPr>
        <w:br w:type="page" w:clear="all"/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56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sz w:val="22"/>
          <w:szCs w:val="22"/>
        </w:rPr>
      </w:r>
      <w:bookmarkStart w:id="31" w:name="_Toc54646413"/>
      <w:r>
        <w:rPr>
          <w:iCs/>
          <w:sz w:val="22"/>
          <w:szCs w:val="22"/>
        </w:rPr>
        <w:t xml:space="preserve">Приложения</w:t>
      </w:r>
      <w:bookmarkEnd w:id="28"/>
      <w:r>
        <w:rPr>
          <w:sz w:val="22"/>
          <w:szCs w:val="22"/>
        </w:rPr>
      </w:r>
      <w:bookmarkEnd w:id="29"/>
      <w:r>
        <w:rPr>
          <w:sz w:val="22"/>
          <w:szCs w:val="22"/>
        </w:rPr>
      </w:r>
      <w:bookmarkEnd w:id="31"/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№1 - </w:t>
      </w:r>
      <w:r>
        <w:rPr>
          <w:sz w:val="22"/>
          <w:szCs w:val="22"/>
        </w:rPr>
        <w:t xml:space="preserve">Требования к оформлению и составлению документации по ценообразованию;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2 - Ведомость объемов работ;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3 - Локальный сметный расчет № </w:t>
      </w:r>
      <w:r>
        <w:rPr>
          <w:bCs/>
          <w:sz w:val="22"/>
          <w:szCs w:val="22"/>
        </w:rPr>
        <w:t xml:space="preserve">100/07-85-11-ЭКСП-25</w:t>
      </w:r>
      <w:r>
        <w:rPr>
          <w:bCs/>
          <w:sz w:val="22"/>
          <w:szCs w:val="22"/>
        </w:rPr>
        <w:t xml:space="preserve">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 4 – Ведомость материалов;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 5 – </w:t>
      </w:r>
      <w:r>
        <w:rPr>
          <w:bCs/>
          <w:sz w:val="22"/>
          <w:szCs w:val="22"/>
        </w:rPr>
        <w:t xml:space="preserve">Локальные нормативные акты</w:t>
      </w:r>
      <w:r>
        <w:rPr>
          <w:bCs/>
          <w:sz w:val="22"/>
          <w:szCs w:val="22"/>
        </w:rPr>
        <w:t xml:space="preserve"> АО «ДГК»;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Приложение № 6 -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лан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разработки и перемещения золы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after="120"/>
        <w:tabs>
          <w:tab w:val="left" w:pos="680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 light (Заголовки)">
    <w:panose1 w:val="020F050202020403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14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14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13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4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9911399"/>
      <w:docPartObj>
        <w:docPartGallery w:val="Page Numbers (Top of Page)"/>
        <w:docPartUnique w:val="true"/>
      </w:docPartObj>
      <w:rPr/>
    </w:sdtPr>
    <w:sdtContent>
      <w:p>
        <w:pPr>
          <w:pStyle w:val="114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4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2715976"/>
      <w:docPartObj>
        <w:docPartGallery w:val="Page Numbers (Top of Page)"/>
        <w:docPartUnique w:val="true"/>
      </w:docPartObj>
      <w:rPr/>
    </w:sdtPr>
    <w:sdtContent>
      <w:p>
        <w:pPr>
          <w:pStyle w:val="114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14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5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11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5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pStyle w:val="95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58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  <w:highlight w:val="white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3"/>
  </w:num>
  <w:num w:numId="5">
    <w:abstractNumId w:val="26"/>
  </w:num>
  <w:num w:numId="6">
    <w:abstractNumId w:val="28"/>
  </w:num>
  <w:num w:numId="7">
    <w:abstractNumId w:val="2"/>
  </w:num>
  <w:num w:numId="8">
    <w:abstractNumId w:val="12"/>
  </w:num>
  <w:num w:numId="9">
    <w:abstractNumId w:val="9"/>
  </w:num>
  <w:num w:numId="10">
    <w:abstractNumId w:val="16"/>
  </w:num>
  <w:num w:numId="11">
    <w:abstractNumId w:val="35"/>
  </w:num>
  <w:num w:numId="12">
    <w:abstractNumId w:val="29"/>
  </w:num>
  <w:num w:numId="13">
    <w:abstractNumId w:val="22"/>
  </w:num>
  <w:num w:numId="14">
    <w:abstractNumId w:val="31"/>
  </w:num>
  <w:num w:numId="15">
    <w:abstractNumId w:val="14"/>
  </w:num>
  <w:num w:numId="16">
    <w:abstractNumId w:val="24"/>
  </w:num>
  <w:num w:numId="17">
    <w:abstractNumId w:val="1"/>
  </w:num>
  <w:num w:numId="18">
    <w:abstractNumId w:val="21"/>
  </w:num>
  <w:num w:numId="19">
    <w:abstractNumId w:val="7"/>
  </w:num>
  <w:num w:numId="20">
    <w:abstractNumId w:val="25"/>
  </w:num>
  <w:num w:numId="21">
    <w:abstractNumId w:val="30"/>
  </w:num>
  <w:num w:numId="22">
    <w:abstractNumId w:val="27"/>
  </w:num>
  <w:num w:numId="23">
    <w:abstractNumId w:val="34"/>
  </w:num>
  <w:num w:numId="24">
    <w:abstractNumId w:val="4"/>
  </w:num>
  <w:num w:numId="25">
    <w:abstractNumId w:val="32"/>
  </w:num>
  <w:num w:numId="26">
    <w:abstractNumId w:val="17"/>
  </w:num>
  <w:num w:numId="27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3"/>
  </w:num>
  <w:num w:numId="30">
    <w:abstractNumId w:val="19"/>
  </w:num>
  <w:num w:numId="31">
    <w:abstractNumId w:val="8"/>
  </w:num>
  <w:num w:numId="32">
    <w:abstractNumId w:val="18"/>
  </w:num>
  <w:num w:numId="33">
    <w:abstractNumId w:val="15"/>
  </w:num>
  <w:num w:numId="34">
    <w:abstractNumId w:val="10"/>
  </w:num>
  <w:num w:numId="35">
    <w:abstractNumId w:val="33"/>
  </w:num>
  <w:num w:numId="36">
    <w:abstractNumId w:val="36"/>
  </w:num>
  <w:num w:numId="37">
    <w:abstractNumId w:val="5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36">
    <w:name w:val="Plain Table 1"/>
    <w:basedOn w:val="9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7">
    <w:name w:val="Plain Table 2"/>
    <w:basedOn w:val="9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8">
    <w:name w:val="Plain Table 3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9">
    <w:name w:val="Plain Table 4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Plain Table 5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1">
    <w:name w:val="Grid Table 1 Light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4"/>
    <w:basedOn w:val="9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5">
    <w:name w:val="Grid Table 5 Dark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7 Colorful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2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0">
    <w:name w:val="List Table 3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5 Dark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6 Colorful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4">
    <w:name w:val="List Table 7 Colorful"/>
    <w:basedOn w:val="9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55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6">
    <w:name w:val="Heading 1"/>
    <w:basedOn w:val="958"/>
    <w:next w:val="955"/>
    <w:link w:val="1149"/>
    <w:qFormat/>
    <w:pPr>
      <w:numPr>
        <w:ilvl w:val="0"/>
      </w:numPr>
      <w:outlineLvl w:val="0"/>
    </w:pPr>
    <w:rPr>
      <w:sz w:val="28"/>
      <w:szCs w:val="28"/>
    </w:rPr>
  </w:style>
  <w:style w:type="paragraph" w:styleId="957">
    <w:name w:val="Heading 2"/>
    <w:basedOn w:val="955"/>
    <w:next w:val="955"/>
    <w:link w:val="9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58">
    <w:name w:val="Heading 3"/>
    <w:basedOn w:val="955"/>
    <w:next w:val="955"/>
    <w:link w:val="1150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59">
    <w:name w:val="Heading 4"/>
    <w:basedOn w:val="958"/>
    <w:next w:val="955"/>
    <w:link w:val="1151"/>
    <w:qFormat/>
    <w:pPr>
      <w:numPr>
        <w:ilvl w:val="1"/>
      </w:numPr>
      <w:outlineLvl w:val="3"/>
    </w:pPr>
    <w:rPr>
      <w:bCs/>
    </w:rPr>
  </w:style>
  <w:style w:type="paragraph" w:styleId="960">
    <w:name w:val="Heading 5"/>
    <w:basedOn w:val="955"/>
    <w:next w:val="955"/>
    <w:link w:val="9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61">
    <w:name w:val="Heading 6"/>
    <w:basedOn w:val="955"/>
    <w:next w:val="955"/>
    <w:link w:val="9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62">
    <w:name w:val="Heading 7"/>
    <w:basedOn w:val="955"/>
    <w:next w:val="955"/>
    <w:link w:val="9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63">
    <w:name w:val="Heading 8"/>
    <w:basedOn w:val="955"/>
    <w:next w:val="955"/>
    <w:link w:val="9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64">
    <w:name w:val="Heading 9"/>
    <w:basedOn w:val="955"/>
    <w:next w:val="955"/>
    <w:link w:val="9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5" w:default="1">
    <w:name w:val="Default Paragraph Font"/>
    <w:uiPriority w:val="1"/>
    <w:semiHidden/>
    <w:unhideWhenUsed/>
  </w:style>
  <w:style w:type="table" w:styleId="9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7" w:default="1">
    <w:name w:val="No List"/>
    <w:uiPriority w:val="99"/>
    <w:semiHidden/>
    <w:unhideWhenUsed/>
  </w:style>
  <w:style w:type="character" w:styleId="968" w:customStyle="1">
    <w:name w:val="Heading 2 Char"/>
    <w:basedOn w:val="965"/>
    <w:uiPriority w:val="9"/>
    <w:rPr>
      <w:rFonts w:ascii="Arial" w:hAnsi="Arial" w:eastAsia="Arial" w:cs="Arial"/>
      <w:sz w:val="34"/>
    </w:rPr>
  </w:style>
  <w:style w:type="character" w:styleId="969" w:customStyle="1">
    <w:name w:val="Heading 5 Char"/>
    <w:basedOn w:val="965"/>
    <w:uiPriority w:val="9"/>
    <w:rPr>
      <w:rFonts w:ascii="Arial" w:hAnsi="Arial" w:eastAsia="Arial" w:cs="Arial"/>
      <w:b/>
      <w:bCs/>
      <w:sz w:val="24"/>
      <w:szCs w:val="24"/>
    </w:rPr>
  </w:style>
  <w:style w:type="character" w:styleId="970" w:customStyle="1">
    <w:name w:val="Heading 6 Char"/>
    <w:basedOn w:val="965"/>
    <w:uiPriority w:val="9"/>
    <w:rPr>
      <w:rFonts w:ascii="Arial" w:hAnsi="Arial" w:eastAsia="Arial" w:cs="Arial"/>
      <w:b/>
      <w:bCs/>
      <w:sz w:val="22"/>
      <w:szCs w:val="22"/>
    </w:rPr>
  </w:style>
  <w:style w:type="character" w:styleId="971" w:customStyle="1">
    <w:name w:val="Heading 7 Char"/>
    <w:basedOn w:val="9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72" w:customStyle="1">
    <w:name w:val="Heading 8 Char"/>
    <w:basedOn w:val="965"/>
    <w:uiPriority w:val="9"/>
    <w:rPr>
      <w:rFonts w:ascii="Arial" w:hAnsi="Arial" w:eastAsia="Arial" w:cs="Arial"/>
      <w:i/>
      <w:iCs/>
      <w:sz w:val="22"/>
      <w:szCs w:val="22"/>
    </w:rPr>
  </w:style>
  <w:style w:type="character" w:styleId="973" w:customStyle="1">
    <w:name w:val="Heading 9 Char"/>
    <w:basedOn w:val="965"/>
    <w:uiPriority w:val="9"/>
    <w:rPr>
      <w:rFonts w:ascii="Arial" w:hAnsi="Arial" w:eastAsia="Arial" w:cs="Arial"/>
      <w:i/>
      <w:iCs/>
      <w:sz w:val="21"/>
      <w:szCs w:val="21"/>
    </w:rPr>
  </w:style>
  <w:style w:type="character" w:styleId="974" w:customStyle="1">
    <w:name w:val="Title Char"/>
    <w:basedOn w:val="965"/>
    <w:uiPriority w:val="10"/>
    <w:rPr>
      <w:sz w:val="48"/>
      <w:szCs w:val="48"/>
    </w:rPr>
  </w:style>
  <w:style w:type="character" w:styleId="975" w:customStyle="1">
    <w:name w:val="Subtitle Char"/>
    <w:basedOn w:val="965"/>
    <w:uiPriority w:val="11"/>
    <w:rPr>
      <w:sz w:val="24"/>
      <w:szCs w:val="24"/>
    </w:rPr>
  </w:style>
  <w:style w:type="character" w:styleId="976" w:customStyle="1">
    <w:name w:val="Quote Char"/>
    <w:uiPriority w:val="29"/>
    <w:rPr>
      <w:i/>
    </w:rPr>
  </w:style>
  <w:style w:type="character" w:styleId="977" w:customStyle="1">
    <w:name w:val="Intense Quote Char"/>
    <w:uiPriority w:val="30"/>
    <w:rPr>
      <w:i/>
    </w:rPr>
  </w:style>
  <w:style w:type="character" w:styleId="978" w:customStyle="1">
    <w:name w:val="Footnote Text Char"/>
    <w:uiPriority w:val="99"/>
    <w:rPr>
      <w:sz w:val="18"/>
    </w:rPr>
  </w:style>
  <w:style w:type="character" w:styleId="979" w:customStyle="1">
    <w:name w:val="Endnote Text Char"/>
    <w:uiPriority w:val="99"/>
    <w:rPr>
      <w:sz w:val="20"/>
    </w:rPr>
  </w:style>
  <w:style w:type="character" w:styleId="980" w:customStyle="1">
    <w:name w:val="Heading 1 Char"/>
    <w:basedOn w:val="965"/>
    <w:uiPriority w:val="9"/>
    <w:rPr>
      <w:rFonts w:ascii="Arial" w:hAnsi="Arial" w:eastAsia="Arial" w:cs="Arial"/>
      <w:sz w:val="40"/>
      <w:szCs w:val="40"/>
    </w:rPr>
  </w:style>
  <w:style w:type="character" w:styleId="981" w:customStyle="1">
    <w:name w:val="Заголовок 2 Знак"/>
    <w:basedOn w:val="965"/>
    <w:link w:val="957"/>
    <w:uiPriority w:val="9"/>
    <w:rPr>
      <w:rFonts w:ascii="Arial" w:hAnsi="Arial" w:eastAsia="Arial" w:cs="Arial"/>
      <w:sz w:val="34"/>
    </w:rPr>
  </w:style>
  <w:style w:type="character" w:styleId="982" w:customStyle="1">
    <w:name w:val="Heading 3 Char"/>
    <w:basedOn w:val="965"/>
    <w:uiPriority w:val="9"/>
    <w:rPr>
      <w:rFonts w:ascii="Arial" w:hAnsi="Arial" w:eastAsia="Arial" w:cs="Arial"/>
      <w:sz w:val="30"/>
      <w:szCs w:val="30"/>
    </w:rPr>
  </w:style>
  <w:style w:type="character" w:styleId="983" w:customStyle="1">
    <w:name w:val="Heading 4 Char"/>
    <w:basedOn w:val="965"/>
    <w:uiPriority w:val="9"/>
    <w:rPr>
      <w:rFonts w:ascii="Arial" w:hAnsi="Arial" w:eastAsia="Arial" w:cs="Arial"/>
      <w:b/>
      <w:bCs/>
      <w:sz w:val="26"/>
      <w:szCs w:val="26"/>
    </w:rPr>
  </w:style>
  <w:style w:type="character" w:styleId="984" w:customStyle="1">
    <w:name w:val="Заголовок 5 Знак"/>
    <w:basedOn w:val="965"/>
    <w:link w:val="960"/>
    <w:uiPriority w:val="9"/>
    <w:rPr>
      <w:rFonts w:ascii="Arial" w:hAnsi="Arial" w:eastAsia="Arial" w:cs="Arial"/>
      <w:b/>
      <w:bCs/>
      <w:sz w:val="24"/>
      <w:szCs w:val="24"/>
    </w:rPr>
  </w:style>
  <w:style w:type="character" w:styleId="985" w:customStyle="1">
    <w:name w:val="Заголовок 6 Знак"/>
    <w:basedOn w:val="965"/>
    <w:link w:val="961"/>
    <w:uiPriority w:val="9"/>
    <w:rPr>
      <w:rFonts w:ascii="Arial" w:hAnsi="Arial" w:eastAsia="Arial" w:cs="Arial"/>
      <w:b/>
      <w:bCs/>
      <w:sz w:val="22"/>
      <w:szCs w:val="22"/>
    </w:rPr>
  </w:style>
  <w:style w:type="character" w:styleId="986" w:customStyle="1">
    <w:name w:val="Заголовок 7 Знак"/>
    <w:basedOn w:val="965"/>
    <w:link w:val="9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7" w:customStyle="1">
    <w:name w:val="Заголовок 8 Знак"/>
    <w:basedOn w:val="965"/>
    <w:link w:val="963"/>
    <w:uiPriority w:val="9"/>
    <w:rPr>
      <w:rFonts w:ascii="Arial" w:hAnsi="Arial" w:eastAsia="Arial" w:cs="Arial"/>
      <w:i/>
      <w:iCs/>
      <w:sz w:val="22"/>
      <w:szCs w:val="22"/>
    </w:rPr>
  </w:style>
  <w:style w:type="character" w:styleId="988" w:customStyle="1">
    <w:name w:val="Заголовок 9 Знак"/>
    <w:basedOn w:val="965"/>
    <w:link w:val="964"/>
    <w:uiPriority w:val="9"/>
    <w:rPr>
      <w:rFonts w:ascii="Arial" w:hAnsi="Arial" w:eastAsia="Arial" w:cs="Arial"/>
      <w:i/>
      <w:iCs/>
      <w:sz w:val="21"/>
      <w:szCs w:val="21"/>
    </w:rPr>
  </w:style>
  <w:style w:type="paragraph" w:styleId="989">
    <w:name w:val="No Spacing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0">
    <w:name w:val="Title"/>
    <w:basedOn w:val="955"/>
    <w:next w:val="955"/>
    <w:link w:val="9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1" w:customStyle="1">
    <w:name w:val="Заголовок Знак"/>
    <w:basedOn w:val="965"/>
    <w:link w:val="990"/>
    <w:uiPriority w:val="10"/>
    <w:rPr>
      <w:sz w:val="48"/>
      <w:szCs w:val="48"/>
    </w:rPr>
  </w:style>
  <w:style w:type="paragraph" w:styleId="992">
    <w:name w:val="Subtitle"/>
    <w:basedOn w:val="955"/>
    <w:next w:val="955"/>
    <w:link w:val="993"/>
    <w:uiPriority w:val="11"/>
    <w:qFormat/>
    <w:pPr>
      <w:spacing w:before="200" w:after="200"/>
    </w:pPr>
    <w:rPr>
      <w:sz w:val="24"/>
      <w:szCs w:val="24"/>
    </w:rPr>
  </w:style>
  <w:style w:type="character" w:styleId="993" w:customStyle="1">
    <w:name w:val="Подзаголовок Знак"/>
    <w:basedOn w:val="965"/>
    <w:link w:val="992"/>
    <w:uiPriority w:val="11"/>
    <w:rPr>
      <w:sz w:val="24"/>
      <w:szCs w:val="24"/>
    </w:rPr>
  </w:style>
  <w:style w:type="paragraph" w:styleId="994">
    <w:name w:val="Quote"/>
    <w:basedOn w:val="955"/>
    <w:next w:val="955"/>
    <w:link w:val="995"/>
    <w:uiPriority w:val="29"/>
    <w:qFormat/>
    <w:pPr>
      <w:ind w:left="720" w:right="720"/>
    </w:pPr>
    <w:rPr>
      <w:i/>
    </w:rPr>
  </w:style>
  <w:style w:type="character" w:styleId="995" w:customStyle="1">
    <w:name w:val="Цитата 2 Знак"/>
    <w:link w:val="994"/>
    <w:uiPriority w:val="29"/>
    <w:rPr>
      <w:i/>
    </w:rPr>
  </w:style>
  <w:style w:type="paragraph" w:styleId="996">
    <w:name w:val="Intense Quote"/>
    <w:basedOn w:val="955"/>
    <w:next w:val="955"/>
    <w:link w:val="99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7" w:customStyle="1">
    <w:name w:val="Выделенная цитата Знак"/>
    <w:link w:val="996"/>
    <w:uiPriority w:val="30"/>
    <w:rPr>
      <w:i/>
    </w:rPr>
  </w:style>
  <w:style w:type="character" w:styleId="998" w:customStyle="1">
    <w:name w:val="Header Char"/>
    <w:basedOn w:val="965"/>
    <w:uiPriority w:val="99"/>
  </w:style>
  <w:style w:type="character" w:styleId="999" w:customStyle="1">
    <w:name w:val="Footer Char"/>
    <w:basedOn w:val="965"/>
    <w:uiPriority w:val="99"/>
  </w:style>
  <w:style w:type="paragraph" w:styleId="1000">
    <w:name w:val="Caption"/>
    <w:basedOn w:val="955"/>
    <w:next w:val="955"/>
    <w:link w:val="100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001" w:customStyle="1">
    <w:name w:val="Caption Char"/>
    <w:uiPriority w:val="99"/>
  </w:style>
  <w:style w:type="table" w:styleId="1002" w:customStyle="1">
    <w:name w:val="Table Grid Light"/>
    <w:basedOn w:val="9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03" w:customStyle="1">
    <w:name w:val="Таблица простая 11"/>
    <w:basedOn w:val="9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4" w:customStyle="1">
    <w:name w:val="Таблица простая 21"/>
    <w:basedOn w:val="9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5" w:customStyle="1">
    <w:name w:val="Таблица простая 31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6" w:customStyle="1">
    <w:name w:val="Таблица простая 41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Таблица простая 51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8" w:customStyle="1">
    <w:name w:val="Таблица-сетка 1 светл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Grid Table 1 Light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Grid Table 1 Light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Grid Table 1 Light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Grid Table 1 Light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Grid Table 1 Light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Grid Table 1 Light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Таблица-сетка 2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2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2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2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2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2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2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Таблица-сетка 3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Grid Table 3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Grid Table 3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3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Grid Table 3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Grid Table 3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Grid Table 3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Таблица-сетка 41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0" w:customStyle="1">
    <w:name w:val="Grid Table 4 - Accent 1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031" w:customStyle="1">
    <w:name w:val="Grid Table 4 - Accent 2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32" w:customStyle="1">
    <w:name w:val="Grid Table 4 - Accent 3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33" w:customStyle="1">
    <w:name w:val="Grid Table 4 - Accent 4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34" w:customStyle="1">
    <w:name w:val="Grid Table 4 - Accent 5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35" w:customStyle="1">
    <w:name w:val="Grid Table 4 - Accent 6"/>
    <w:basedOn w:val="9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36" w:customStyle="1">
    <w:name w:val="Таблица-сетка 5 тем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37" w:customStyle="1">
    <w:name w:val="Grid Table 5 Dark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038" w:customStyle="1">
    <w:name w:val="Grid Table 5 Dark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9" w:customStyle="1">
    <w:name w:val="Grid Table 5 Dark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40" w:customStyle="1">
    <w:name w:val="Grid Table 5 Dark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41" w:customStyle="1">
    <w:name w:val="Grid Table 5 Dark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042" w:customStyle="1">
    <w:name w:val="Grid Table 5 Dark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43" w:customStyle="1">
    <w:name w:val="Таблица-сетка 6 цвет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44" w:customStyle="1">
    <w:name w:val="Grid Table 6 Colorful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45" w:customStyle="1">
    <w:name w:val="Grid Table 6 Colorful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46" w:customStyle="1">
    <w:name w:val="Grid Table 6 Colorful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47" w:customStyle="1">
    <w:name w:val="Grid Table 6 Colorful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48" w:customStyle="1">
    <w:name w:val="Grid Table 6 Colorful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49" w:customStyle="1">
    <w:name w:val="Grid Table 6 Colorful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50" w:customStyle="1">
    <w:name w:val="Таблица-сетка 7 цвет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7 Colorful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7 Colorful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Grid Table 7 Colorful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Grid Table 7 Colorful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Grid Table 7 Colorful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Grid Table 7 Colorful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Список-таблица 1 светлая1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List Table 1 Light - Accent 1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List Table 1 Light - Accent 2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List Table 1 Light - Accent 3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 w:customStyle="1">
    <w:name w:val="List Table 1 Light - Accent 4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 w:customStyle="1">
    <w:name w:val="List Table 1 Light - Accent 5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 w:customStyle="1">
    <w:name w:val="List Table 1 Light - Accent 6"/>
    <w:basedOn w:val="9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 w:customStyle="1">
    <w:name w:val="Список-таблица 2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65" w:customStyle="1">
    <w:name w:val="List Table 2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66" w:customStyle="1">
    <w:name w:val="List Table 2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67" w:customStyle="1">
    <w:name w:val="List Table 2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8" w:customStyle="1">
    <w:name w:val="List Table 2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69" w:customStyle="1">
    <w:name w:val="List Table 2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70" w:customStyle="1">
    <w:name w:val="List Table 2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71" w:customStyle="1">
    <w:name w:val="Список-таблица 3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3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3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3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3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3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3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 w:customStyle="1">
    <w:name w:val="Список-таблица 4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 w:customStyle="1">
    <w:name w:val="List Table 4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 w:customStyle="1">
    <w:name w:val="List Table 4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 w:customStyle="1">
    <w:name w:val="List Table 4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 w:customStyle="1">
    <w:name w:val="List Table 4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 w:customStyle="1">
    <w:name w:val="List Table 4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 w:customStyle="1">
    <w:name w:val="List Table 4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 w:customStyle="1">
    <w:name w:val="Список-таблица 5 тем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6" w:customStyle="1">
    <w:name w:val="List Table 5 Dark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7" w:customStyle="1">
    <w:name w:val="List Table 5 Dark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8" w:customStyle="1">
    <w:name w:val="List Table 5 Dark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9" w:customStyle="1">
    <w:name w:val="List Table 5 Dark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0" w:customStyle="1">
    <w:name w:val="List Table 5 Dark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1" w:customStyle="1">
    <w:name w:val="List Table 5 Dark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92" w:customStyle="1">
    <w:name w:val="Список-таблица 6 цвет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93" w:customStyle="1">
    <w:name w:val="List Table 6 Colorful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94" w:customStyle="1">
    <w:name w:val="List Table 6 Colorful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95" w:customStyle="1">
    <w:name w:val="List Table 6 Colorful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96" w:customStyle="1">
    <w:name w:val="List Table 6 Colorful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97" w:customStyle="1">
    <w:name w:val="List Table 6 Colorful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98" w:customStyle="1">
    <w:name w:val="List Table 6 Colorful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99" w:customStyle="1">
    <w:name w:val="Список-таблица 7 цветная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List Table 7 Colorful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 w:customStyle="1">
    <w:name w:val="List Table 7 Colorful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List Table 7 Colorful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 w:customStyle="1">
    <w:name w:val="List Table 7 Colorful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 w:customStyle="1">
    <w:name w:val="List Table 7 Colorful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 w:customStyle="1">
    <w:name w:val="List Table 7 Colorful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 w:customStyle="1">
    <w:name w:val="Lined - Accent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07" w:customStyle="1">
    <w:name w:val="Lined - Accent 1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08" w:customStyle="1">
    <w:name w:val="Lined - Accent 2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09" w:customStyle="1">
    <w:name w:val="Lined - Accent 3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0" w:customStyle="1">
    <w:name w:val="Lined - Accent 4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11" w:customStyle="1">
    <w:name w:val="Lined - Accent 5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12" w:customStyle="1">
    <w:name w:val="Lined - Accent 6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3" w:customStyle="1">
    <w:name w:val="Bordered &amp; Lined - Accent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14" w:customStyle="1">
    <w:name w:val="Bordered &amp; Lined - Accent 1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15" w:customStyle="1">
    <w:name w:val="Bordered &amp; Lined - Accent 2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16" w:customStyle="1">
    <w:name w:val="Bordered &amp; Lined - Accent 3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7" w:customStyle="1">
    <w:name w:val="Bordered &amp; Lined - Accent 4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18" w:customStyle="1">
    <w:name w:val="Bordered &amp; Lined - Accent 5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19" w:customStyle="1">
    <w:name w:val="Bordered &amp; Lined - Accent 6"/>
    <w:basedOn w:val="9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20" w:customStyle="1">
    <w:name w:val="Bordered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21" w:customStyle="1">
    <w:name w:val="Bordered - Accent 1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22" w:customStyle="1">
    <w:name w:val="Bordered - Accent 2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23" w:customStyle="1">
    <w:name w:val="Bordered - Accent 3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24" w:customStyle="1">
    <w:name w:val="Bordered - Accent 4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25" w:customStyle="1">
    <w:name w:val="Bordered - Accent 5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126" w:customStyle="1">
    <w:name w:val="Bordered - Accent 6"/>
    <w:basedOn w:val="9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127">
    <w:name w:val="footnote text"/>
    <w:basedOn w:val="955"/>
    <w:link w:val="1128"/>
    <w:uiPriority w:val="99"/>
    <w:semiHidden/>
    <w:unhideWhenUsed/>
    <w:pPr>
      <w:spacing w:after="40"/>
    </w:pPr>
    <w:rPr>
      <w:sz w:val="18"/>
    </w:rPr>
  </w:style>
  <w:style w:type="character" w:styleId="1128" w:customStyle="1">
    <w:name w:val="Текст сноски Знак"/>
    <w:link w:val="1127"/>
    <w:uiPriority w:val="99"/>
    <w:rPr>
      <w:sz w:val="18"/>
    </w:rPr>
  </w:style>
  <w:style w:type="character" w:styleId="1129">
    <w:name w:val="footnote reference"/>
    <w:basedOn w:val="965"/>
    <w:uiPriority w:val="99"/>
    <w:unhideWhenUsed/>
    <w:rPr>
      <w:vertAlign w:val="superscript"/>
    </w:rPr>
  </w:style>
  <w:style w:type="paragraph" w:styleId="1130">
    <w:name w:val="endnote text"/>
    <w:basedOn w:val="955"/>
    <w:link w:val="1131"/>
    <w:uiPriority w:val="99"/>
    <w:semiHidden/>
    <w:unhideWhenUsed/>
  </w:style>
  <w:style w:type="character" w:styleId="1131" w:customStyle="1">
    <w:name w:val="Текст концевой сноски Знак"/>
    <w:link w:val="1130"/>
    <w:uiPriority w:val="99"/>
    <w:rPr>
      <w:sz w:val="20"/>
    </w:rPr>
  </w:style>
  <w:style w:type="character" w:styleId="1132">
    <w:name w:val="endnote reference"/>
    <w:basedOn w:val="965"/>
    <w:uiPriority w:val="99"/>
    <w:semiHidden/>
    <w:unhideWhenUsed/>
    <w:rPr>
      <w:vertAlign w:val="superscript"/>
    </w:rPr>
  </w:style>
  <w:style w:type="paragraph" w:styleId="1133">
    <w:name w:val="toc 2"/>
    <w:basedOn w:val="955"/>
    <w:next w:val="955"/>
    <w:uiPriority w:val="39"/>
    <w:unhideWhenUsed/>
    <w:pPr>
      <w:ind w:left="283"/>
      <w:spacing w:after="57"/>
    </w:pPr>
  </w:style>
  <w:style w:type="paragraph" w:styleId="1134">
    <w:name w:val="toc 3"/>
    <w:basedOn w:val="955"/>
    <w:next w:val="955"/>
    <w:uiPriority w:val="39"/>
    <w:unhideWhenUsed/>
    <w:pPr>
      <w:ind w:left="567"/>
      <w:spacing w:after="57"/>
    </w:pPr>
  </w:style>
  <w:style w:type="paragraph" w:styleId="1135">
    <w:name w:val="toc 5"/>
    <w:basedOn w:val="955"/>
    <w:next w:val="955"/>
    <w:uiPriority w:val="39"/>
    <w:unhideWhenUsed/>
    <w:pPr>
      <w:ind w:left="1134"/>
      <w:spacing w:after="57"/>
    </w:pPr>
  </w:style>
  <w:style w:type="paragraph" w:styleId="1136">
    <w:name w:val="toc 6"/>
    <w:basedOn w:val="955"/>
    <w:next w:val="955"/>
    <w:uiPriority w:val="39"/>
    <w:unhideWhenUsed/>
    <w:pPr>
      <w:ind w:left="1417"/>
      <w:spacing w:after="57"/>
    </w:pPr>
  </w:style>
  <w:style w:type="paragraph" w:styleId="1137">
    <w:name w:val="toc 7"/>
    <w:basedOn w:val="955"/>
    <w:next w:val="955"/>
    <w:uiPriority w:val="39"/>
    <w:unhideWhenUsed/>
    <w:pPr>
      <w:ind w:left="1701"/>
      <w:spacing w:after="57"/>
    </w:pPr>
  </w:style>
  <w:style w:type="paragraph" w:styleId="1138">
    <w:name w:val="toc 8"/>
    <w:basedOn w:val="955"/>
    <w:next w:val="955"/>
    <w:uiPriority w:val="39"/>
    <w:unhideWhenUsed/>
    <w:pPr>
      <w:ind w:left="1984"/>
      <w:spacing w:after="57"/>
    </w:pPr>
  </w:style>
  <w:style w:type="paragraph" w:styleId="1139">
    <w:name w:val="toc 9"/>
    <w:basedOn w:val="955"/>
    <w:next w:val="955"/>
    <w:uiPriority w:val="39"/>
    <w:unhideWhenUsed/>
    <w:pPr>
      <w:ind w:left="2268"/>
      <w:spacing w:after="57"/>
    </w:pPr>
  </w:style>
  <w:style w:type="paragraph" w:styleId="1140">
    <w:name w:val="TOC Heading"/>
    <w:uiPriority w:val="39"/>
    <w:unhideWhenUsed/>
  </w:style>
  <w:style w:type="paragraph" w:styleId="1141">
    <w:name w:val="table of figures"/>
    <w:basedOn w:val="955"/>
    <w:next w:val="955"/>
    <w:uiPriority w:val="99"/>
    <w:unhideWhenUsed/>
  </w:style>
  <w:style w:type="paragraph" w:styleId="1142">
    <w:name w:val="toc 1"/>
    <w:basedOn w:val="955"/>
    <w:next w:val="955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143">
    <w:name w:val="Hyperlink"/>
    <w:uiPriority w:val="99"/>
    <w:rPr>
      <w:color w:val="0000ff"/>
      <w:u w:val="single"/>
    </w:rPr>
  </w:style>
  <w:style w:type="paragraph" w:styleId="1144">
    <w:name w:val="toc 4"/>
    <w:basedOn w:val="955"/>
    <w:next w:val="955"/>
    <w:uiPriority w:val="39"/>
    <w:pPr>
      <w:ind w:left="560"/>
    </w:pPr>
    <w:rPr>
      <w:rFonts w:cstheme="minorHAnsi"/>
    </w:rPr>
  </w:style>
  <w:style w:type="paragraph" w:styleId="1145">
    <w:name w:val="Header"/>
    <w:basedOn w:val="955"/>
    <w:link w:val="114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46" w:customStyle="1">
    <w:name w:val="Верхний колонтитул Знак"/>
    <w:basedOn w:val="965"/>
    <w:link w:val="1145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47">
    <w:name w:val="Footer"/>
    <w:basedOn w:val="955"/>
    <w:link w:val="114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48" w:customStyle="1">
    <w:name w:val="Нижний колонтитул Знак"/>
    <w:basedOn w:val="965"/>
    <w:link w:val="1147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49" w:customStyle="1">
    <w:name w:val="Заголовок 1 Знак"/>
    <w:basedOn w:val="965"/>
    <w:link w:val="956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150" w:customStyle="1">
    <w:name w:val="Заголовок 3 Знак"/>
    <w:basedOn w:val="965"/>
    <w:link w:val="958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151" w:customStyle="1">
    <w:name w:val="Заголовок 4 Знак"/>
    <w:basedOn w:val="965"/>
    <w:link w:val="959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152" w:customStyle="1">
    <w:name w:val="комментарий"/>
    <w:rPr>
      <w:b/>
      <w:i/>
      <w:shd w:val="clear" w:color="auto" w:fill="ffff99"/>
    </w:rPr>
  </w:style>
  <w:style w:type="paragraph" w:styleId="1153" w:customStyle="1">
    <w:name w:val="Раздел положения"/>
    <w:basedOn w:val="955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154" w:customStyle="1">
    <w:name w:val="Подраздел раздела положения"/>
    <w:basedOn w:val="955"/>
    <w:pPr>
      <w:numPr>
        <w:ilvl w:val="1"/>
        <w:numId w:val="2"/>
      </w:numPr>
      <w:jc w:val="both"/>
      <w:spacing w:before="80" w:after="80"/>
    </w:pPr>
  </w:style>
  <w:style w:type="paragraph" w:styleId="1155">
    <w:name w:val="List Paragraph"/>
    <w:basedOn w:val="955"/>
    <w:link w:val="115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156" w:customStyle="1">
    <w:name w:val="Абзац списка Знак"/>
    <w:link w:val="1155"/>
    <w:uiPriority w:val="34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57" w:customStyle="1">
    <w:name w:val="Таблица шапка"/>
    <w:basedOn w:val="955"/>
    <w:pPr>
      <w:ind w:left="57" w:right="57"/>
      <w:keepNext/>
      <w:spacing w:before="40" w:after="40"/>
    </w:pPr>
    <w:rPr>
      <w:sz w:val="22"/>
      <w:szCs w:val="26"/>
    </w:rPr>
  </w:style>
  <w:style w:type="table" w:styleId="1158">
    <w:name w:val="Table Grid"/>
    <w:basedOn w:val="96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59" w:customStyle="1">
    <w:name w:val="Таблица"/>
    <w:basedOn w:val="95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160">
    <w:name w:val="annotation text"/>
    <w:basedOn w:val="955"/>
    <w:link w:val="1161"/>
    <w:semiHidden/>
  </w:style>
  <w:style w:type="character" w:styleId="1161" w:customStyle="1">
    <w:name w:val="Текст примечания Знак"/>
    <w:basedOn w:val="965"/>
    <w:link w:val="1160"/>
    <w:semiHidden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cp:keywords/>
  <dc:description/>
  <cp:lastModifiedBy>evstratenko_av</cp:lastModifiedBy>
  <cp:revision>69</cp:revision>
  <dcterms:created xsi:type="dcterms:W3CDTF">2023-01-10T06:58:00Z</dcterms:created>
  <dcterms:modified xsi:type="dcterms:W3CDTF">2026-04-09T07:13:29Z</dcterms:modified>
</cp:coreProperties>
</file>